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0020"/>
          <w:sz w:val="22"/>
        </w:rPr>
        <w:t>SYNTHETIC TEST DOCUMENT — FICTIONAL COMPANY — NO CUSTOMER DATA</w:t>
      </w:r>
    </w:p>
    <w:p>
      <w:pPr>
        <w:pStyle w:val="Title"/>
        <w:spacing w:before="800"/>
      </w:pPr>
      <w:r>
        <w:t>Cedar Hollow Tax Services LLC</w:t>
      </w:r>
    </w:p>
    <w:p>
      <w:pPr>
        <w:spacing w:after="280"/>
      </w:pPr>
      <w:r>
        <w:rPr>
          <w:sz w:val="30"/>
        </w:rPr>
        <w:t>Written Information Security Plan (WISP)</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Document ID</w:t>
            </w:r>
          </w:p>
        </w:tc>
        <w:tc>
          <w:tcPr>
            <w:tcW w:type="dxa" w:w="7056"/>
          </w:tcPr>
          <w:p>
            <w:pPr>
              <w:spacing w:after="0"/>
            </w:pPr>
            <w:r>
              <w:rPr>
                <w:sz w:val="17"/>
              </w:rPr>
              <w:t>CHT-SEC-001</w:t>
            </w:r>
          </w:p>
        </w:tc>
      </w:tr>
      <w:tr>
        <w:tc>
          <w:tcPr>
            <w:tcW w:type="dxa" w:w="3024"/>
            <w:shd w:val="clear" w:color="auto" w:fill="F0F3F7"/>
          </w:tcPr>
          <w:p>
            <w:pPr>
              <w:spacing w:after="0"/>
            </w:pPr>
            <w:r>
              <w:rPr>
                <w:b/>
                <w:sz w:val="17"/>
              </w:rPr>
              <w:t>Version</w:t>
            </w:r>
          </w:p>
        </w:tc>
        <w:tc>
          <w:tcPr>
            <w:tcW w:type="dxa" w:w="7056"/>
          </w:tcPr>
          <w:p>
            <w:pPr>
              <w:spacing w:after="0"/>
            </w:pPr>
            <w:r>
              <w:rPr>
                <w:sz w:val="17"/>
              </w:rPr>
              <w:t>2.0</w:t>
            </w:r>
          </w:p>
        </w:tc>
      </w:tr>
      <w:tr>
        <w:tc>
          <w:tcPr>
            <w:tcW w:type="dxa" w:w="3024"/>
            <w:shd w:val="clear" w:color="auto" w:fill="F0F3F7"/>
          </w:tcPr>
          <w:p>
            <w:pPr>
              <w:spacing w:after="0"/>
            </w:pPr>
            <w:r>
              <w:rPr>
                <w:b/>
                <w:sz w:val="17"/>
              </w:rPr>
              <w:t>Effective date</w:t>
            </w:r>
          </w:p>
        </w:tc>
        <w:tc>
          <w:tcPr>
            <w:tcW w:type="dxa" w:w="7056"/>
          </w:tcPr>
          <w:p>
            <w:pPr>
              <w:spacing w:after="0"/>
            </w:pPr>
            <w:r>
              <w:rPr>
                <w:sz w:val="17"/>
              </w:rPr>
              <w:t>2026-09-01</w:t>
            </w:r>
          </w:p>
        </w:tc>
      </w:tr>
      <w:tr>
        <w:tc>
          <w:tcPr>
            <w:tcW w:type="dxa" w:w="3024"/>
            <w:shd w:val="clear" w:color="auto" w:fill="F0F3F7"/>
          </w:tcPr>
          <w:p>
            <w:pPr>
              <w:spacing w:after="0"/>
            </w:pPr>
            <w:r>
              <w:rPr>
                <w:b/>
                <w:sz w:val="17"/>
              </w:rPr>
              <w:t>Owner</w:t>
            </w:r>
          </w:p>
        </w:tc>
        <w:tc>
          <w:tcPr>
            <w:tcW w:type="dxa" w:w="7056"/>
          </w:tcPr>
          <w:p>
            <w:pPr>
              <w:spacing w:after="0"/>
            </w:pPr>
            <w:r>
              <w:rPr>
                <w:sz w:val="17"/>
              </w:rPr>
              <w:t>Qualified Individual, Security Lead</w:t>
            </w:r>
          </w:p>
        </w:tc>
      </w:tr>
      <w:tr>
        <w:tc>
          <w:tcPr>
            <w:tcW w:type="dxa" w:w="3024"/>
            <w:shd w:val="clear" w:color="auto" w:fill="F0F3F7"/>
          </w:tcPr>
          <w:p>
            <w:pPr>
              <w:spacing w:after="0"/>
            </w:pPr>
            <w:r>
              <w:rPr>
                <w:b/>
                <w:sz w:val="17"/>
              </w:rPr>
              <w:t>Approved by</w:t>
            </w:r>
          </w:p>
        </w:tc>
        <w:tc>
          <w:tcPr>
            <w:tcW w:type="dxa" w:w="7056"/>
          </w:tcPr>
          <w:p>
            <w:pPr>
              <w:spacing w:after="0"/>
            </w:pPr>
            <w:r>
              <w:rPr>
                <w:sz w:val="17"/>
              </w:rPr>
              <w:t>Managing Partners (approval minutes dated 2026-08-27)</w:t>
            </w:r>
          </w:p>
        </w:tc>
      </w:tr>
      <w:tr>
        <w:tc>
          <w:tcPr>
            <w:tcW w:type="dxa" w:w="3024"/>
            <w:shd w:val="clear" w:color="auto" w:fill="F0F3F7"/>
          </w:tcPr>
          <w:p>
            <w:pPr>
              <w:spacing w:after="0"/>
            </w:pPr>
            <w:r>
              <w:rPr>
                <w:b/>
                <w:sz w:val="17"/>
              </w:rPr>
              <w:t>Next scheduled review</w:t>
            </w:r>
          </w:p>
        </w:tc>
        <w:tc>
          <w:tcPr>
            <w:tcW w:type="dxa" w:w="7056"/>
          </w:tcPr>
          <w:p>
            <w:pPr>
              <w:spacing w:after="0"/>
            </w:pPr>
            <w:r>
              <w:rPr>
                <w:sz w:val="17"/>
              </w:rPr>
              <w:t>2027-08-31, or sooner after a material change</w:t>
            </w:r>
          </w:p>
        </w:tc>
      </w:tr>
      <w:tr>
        <w:tc>
          <w:tcPr>
            <w:tcW w:type="dxa" w:w="3024"/>
            <w:shd w:val="clear" w:color="auto" w:fill="F0F3F7"/>
          </w:tcPr>
          <w:p>
            <w:pPr>
              <w:spacing w:after="0"/>
            </w:pPr>
            <w:r>
              <w:rPr>
                <w:b/>
                <w:sz w:val="17"/>
              </w:rPr>
              <w:t>Classification</w:t>
            </w:r>
          </w:p>
        </w:tc>
        <w:tc>
          <w:tcPr>
            <w:tcW w:type="dxa" w:w="7056"/>
          </w:tcPr>
          <w:p>
            <w:pPr>
              <w:spacing w:after="0"/>
            </w:pPr>
            <w:r>
              <w:rPr>
                <w:sz w:val="17"/>
              </w:rPr>
              <w:t>Internal - synthetic test fixture</w:t>
            </w:r>
          </w:p>
        </w:tc>
      </w:tr>
    </w:tbl>
    <w:p>
      <w:pPr>
        <w:spacing w:after="40"/>
      </w:pPr>
    </w:p>
    <w:p>
      <w:r>
        <w:t>This document is a synthetic test fixture created for AuditReady page-count, pricing, and pre-scan testing. The company, people, vendors, and events are fictional. It contains no real customer data and no protected health information.</w:t>
      </w:r>
    </w:p>
    <w:p>
      <w:pPr>
        <w:pStyle w:val="Heading2"/>
      </w:pPr>
      <w:r>
        <w:t>Test intent</w:t>
      </w:r>
    </w:p>
    <w:p>
      <w:r>
        <w:t>A relatively detailed WISP with named owners, actions, timing, and evidence. It is a synthetic fixture, not proof that any real company follows these steps.</w:t>
      </w:r>
    </w:p>
    <w:p>
      <w:r>
        <w:br w:type="page"/>
      </w:r>
    </w:p>
    <w:p>
      <w:pPr>
        <w:pStyle w:val="Heading1"/>
      </w:pPr>
      <w:r>
        <w:t>Revision history</w:t>
      </w:r>
    </w:p>
    <w:tbl>
      <w:tblPr>
        <w:tblStyle w:val="TableGrid"/>
        <w:tblW w:type="auto" w:w="0"/>
        <w:tblLayout w:type="fixed"/>
        <w:tblLook w:firstColumn="1" w:firstRow="1" w:lastColumn="0" w:lastRow="0" w:noHBand="0" w:noVBand="1" w:val="04A0"/>
      </w:tblPr>
      <w:tblGrid>
        <w:gridCol w:w="1008"/>
        <w:gridCol w:w="1512"/>
        <w:gridCol w:w="2016"/>
        <w:gridCol w:w="5544"/>
      </w:tblGrid>
      <w:tr>
        <w:tc>
          <w:tcPr>
            <w:tcW w:type="dxa" w:w="1008"/>
            <w:shd w:val="clear" w:color="auto" w:fill="E3E9F1"/>
          </w:tcPr>
          <w:p>
            <w:pPr>
              <w:spacing w:after="0"/>
            </w:pPr>
            <w:r>
              <w:rPr>
                <w:b/>
                <w:sz w:val="17"/>
              </w:rPr>
              <w:t>Version</w:t>
            </w:r>
          </w:p>
        </w:tc>
        <w:tc>
          <w:tcPr>
            <w:tcW w:type="dxa" w:w="1512"/>
            <w:shd w:val="clear" w:color="auto" w:fill="E3E9F1"/>
          </w:tcPr>
          <w:p>
            <w:pPr>
              <w:spacing w:after="0"/>
            </w:pPr>
            <w:r>
              <w:rPr>
                <w:b/>
                <w:sz w:val="17"/>
              </w:rPr>
              <w:t>Date</w:t>
            </w:r>
          </w:p>
        </w:tc>
        <w:tc>
          <w:tcPr>
            <w:tcW w:type="dxa" w:w="2016"/>
            <w:shd w:val="clear" w:color="auto" w:fill="E3E9F1"/>
          </w:tcPr>
          <w:p>
            <w:pPr>
              <w:spacing w:after="0"/>
            </w:pPr>
            <w:r>
              <w:rPr>
                <w:b/>
                <w:sz w:val="17"/>
              </w:rPr>
              <w:t>Author (role)</w:t>
            </w:r>
          </w:p>
        </w:tc>
        <w:tc>
          <w:tcPr>
            <w:tcW w:type="dxa" w:w="5544"/>
            <w:shd w:val="clear" w:color="auto" w:fill="E3E9F1"/>
          </w:tcPr>
          <w:p>
            <w:pPr>
              <w:spacing w:after="0"/>
            </w:pPr>
            <w:r>
              <w:rPr>
                <w:b/>
                <w:sz w:val="17"/>
              </w:rPr>
              <w:t>Summary of change</w:t>
            </w:r>
          </w:p>
        </w:tc>
      </w:tr>
      <w:tr>
        <w:tc>
          <w:tcPr>
            <w:tcW w:type="dxa" w:w="1008"/>
          </w:tcPr>
          <w:p>
            <w:pPr>
              <w:spacing w:after="0"/>
            </w:pPr>
            <w:r>
              <w:rPr>
                <w:sz w:val="17"/>
              </w:rPr>
              <w:t>1.0</w:t>
            </w:r>
          </w:p>
        </w:tc>
        <w:tc>
          <w:tcPr>
            <w:tcW w:type="dxa" w:w="1512"/>
          </w:tcPr>
          <w:p>
            <w:pPr>
              <w:spacing w:after="0"/>
            </w:pPr>
            <w:r>
              <w:rPr>
                <w:sz w:val="17"/>
              </w:rPr>
              <w:t>2024-08-15</w:t>
            </w:r>
          </w:p>
        </w:tc>
        <w:tc>
          <w:tcPr>
            <w:tcW w:type="dxa" w:w="2016"/>
          </w:tcPr>
          <w:p>
            <w:pPr>
              <w:spacing w:after="0"/>
            </w:pPr>
            <w:r>
              <w:rPr>
                <w:sz w:val="17"/>
              </w:rPr>
              <w:t>Security Lead</w:t>
            </w:r>
          </w:p>
        </w:tc>
        <w:tc>
          <w:tcPr>
            <w:tcW w:type="dxa" w:w="5544"/>
          </w:tcPr>
          <w:p>
            <w:pPr>
              <w:spacing w:after="0"/>
            </w:pPr>
            <w:r>
              <w:rPr>
                <w:sz w:val="17"/>
              </w:rPr>
              <w:t>Initial WISP adopted by Managing Partners.</w:t>
            </w:r>
          </w:p>
        </w:tc>
      </w:tr>
      <w:tr>
        <w:tc>
          <w:tcPr>
            <w:tcW w:type="dxa" w:w="1008"/>
          </w:tcPr>
          <w:p>
            <w:pPr>
              <w:spacing w:after="0"/>
            </w:pPr>
            <w:r>
              <w:rPr>
                <w:sz w:val="17"/>
              </w:rPr>
              <w:t>1.1</w:t>
            </w:r>
          </w:p>
        </w:tc>
        <w:tc>
          <w:tcPr>
            <w:tcW w:type="dxa" w:w="1512"/>
          </w:tcPr>
          <w:p>
            <w:pPr>
              <w:spacing w:after="0"/>
            </w:pPr>
            <w:r>
              <w:rPr>
                <w:sz w:val="17"/>
              </w:rPr>
              <w:t>2025-01-20</w:t>
            </w:r>
          </w:p>
        </w:tc>
        <w:tc>
          <w:tcPr>
            <w:tcW w:type="dxa" w:w="2016"/>
          </w:tcPr>
          <w:p>
            <w:pPr>
              <w:spacing w:after="0"/>
            </w:pPr>
            <w:r>
              <w:rPr>
                <w:sz w:val="17"/>
              </w:rPr>
              <w:t>Security Lead</w:t>
            </w:r>
          </w:p>
        </w:tc>
        <w:tc>
          <w:tcPr>
            <w:tcW w:type="dxa" w:w="5544"/>
          </w:tcPr>
          <w:p>
            <w:pPr>
              <w:spacing w:after="0"/>
            </w:pPr>
            <w:r>
              <w:rPr>
                <w:sz w:val="17"/>
              </w:rPr>
              <w:t>Added annual risk assessment calendar and risk register fields.</w:t>
            </w:r>
          </w:p>
        </w:tc>
      </w:tr>
      <w:tr>
        <w:tc>
          <w:tcPr>
            <w:tcW w:type="dxa" w:w="1008"/>
          </w:tcPr>
          <w:p>
            <w:pPr>
              <w:spacing w:after="0"/>
            </w:pPr>
            <w:r>
              <w:rPr>
                <w:sz w:val="17"/>
              </w:rPr>
              <w:t>1.2</w:t>
            </w:r>
          </w:p>
        </w:tc>
        <w:tc>
          <w:tcPr>
            <w:tcW w:type="dxa" w:w="1512"/>
          </w:tcPr>
          <w:p>
            <w:pPr>
              <w:spacing w:after="0"/>
            </w:pPr>
            <w:r>
              <w:rPr>
                <w:sz w:val="17"/>
              </w:rPr>
              <w:t>2025-06-30</w:t>
            </w:r>
          </w:p>
        </w:tc>
        <w:tc>
          <w:tcPr>
            <w:tcW w:type="dxa" w:w="2016"/>
          </w:tcPr>
          <w:p>
            <w:pPr>
              <w:spacing w:after="0"/>
            </w:pPr>
            <w:r>
              <w:rPr>
                <w:sz w:val="17"/>
              </w:rPr>
              <w:t>Operations Manager</w:t>
            </w:r>
          </w:p>
        </w:tc>
        <w:tc>
          <w:tcPr>
            <w:tcW w:type="dxa" w:w="5544"/>
          </w:tcPr>
          <w:p>
            <w:pPr>
              <w:spacing w:after="0"/>
            </w:pPr>
            <w:r>
              <w:rPr>
                <w:sz w:val="17"/>
              </w:rPr>
              <w:t>Added MFA for remote access and quarterly access review form.</w:t>
            </w:r>
          </w:p>
        </w:tc>
      </w:tr>
      <w:tr>
        <w:tc>
          <w:tcPr>
            <w:tcW w:type="dxa" w:w="1008"/>
          </w:tcPr>
          <w:p>
            <w:pPr>
              <w:spacing w:after="0"/>
            </w:pPr>
            <w:r>
              <w:rPr>
                <w:sz w:val="17"/>
              </w:rPr>
              <w:t>1.3</w:t>
            </w:r>
          </w:p>
        </w:tc>
        <w:tc>
          <w:tcPr>
            <w:tcW w:type="dxa" w:w="1512"/>
          </w:tcPr>
          <w:p>
            <w:pPr>
              <w:spacing w:after="0"/>
            </w:pPr>
            <w:r>
              <w:rPr>
                <w:sz w:val="17"/>
              </w:rPr>
              <w:t>2026-02-10</w:t>
            </w:r>
          </w:p>
        </w:tc>
        <w:tc>
          <w:tcPr>
            <w:tcW w:type="dxa" w:w="2016"/>
          </w:tcPr>
          <w:p>
            <w:pPr>
              <w:spacing w:after="0"/>
            </w:pPr>
            <w:r>
              <w:rPr>
                <w:sz w:val="17"/>
              </w:rPr>
              <w:t>Security Lead</w:t>
            </w:r>
          </w:p>
        </w:tc>
        <w:tc>
          <w:tcPr>
            <w:tcW w:type="dxa" w:w="5544"/>
          </w:tcPr>
          <w:p>
            <w:pPr>
              <w:spacing w:after="0"/>
            </w:pPr>
            <w:r>
              <w:rPr>
                <w:sz w:val="17"/>
              </w:rPr>
              <w:t>Added FTC notification event evaluation step to incident response.</w:t>
            </w:r>
          </w:p>
        </w:tc>
      </w:tr>
      <w:tr>
        <w:tc>
          <w:tcPr>
            <w:tcW w:type="dxa" w:w="1008"/>
          </w:tcPr>
          <w:p>
            <w:pPr>
              <w:spacing w:after="0"/>
            </w:pPr>
            <w:r>
              <w:rPr>
                <w:sz w:val="17"/>
              </w:rPr>
              <w:t>2.0</w:t>
            </w:r>
          </w:p>
        </w:tc>
        <w:tc>
          <w:tcPr>
            <w:tcW w:type="dxa" w:w="1512"/>
          </w:tcPr>
          <w:p>
            <w:pPr>
              <w:spacing w:after="0"/>
            </w:pPr>
            <w:r>
              <w:rPr>
                <w:sz w:val="17"/>
              </w:rPr>
              <w:t>2026-09-01</w:t>
            </w:r>
          </w:p>
        </w:tc>
        <w:tc>
          <w:tcPr>
            <w:tcW w:type="dxa" w:w="2016"/>
          </w:tcPr>
          <w:p>
            <w:pPr>
              <w:spacing w:after="0"/>
            </w:pPr>
            <w:r>
              <w:rPr>
                <w:sz w:val="17"/>
              </w:rPr>
              <w:t>Security Lead</w:t>
            </w:r>
          </w:p>
        </w:tc>
        <w:tc>
          <w:tcPr>
            <w:tcW w:type="dxa" w:w="5544"/>
          </w:tcPr>
          <w:p>
            <w:pPr>
              <w:spacing w:after="0"/>
            </w:pPr>
            <w:r>
              <w:rPr>
                <w:sz w:val="17"/>
              </w:rPr>
              <w:t>Full restructure into SOPs; vendor oversight and disposal SOPs expanded; evidence index added.</w:t>
            </w:r>
          </w:p>
        </w:tc>
      </w:tr>
    </w:tbl>
    <w:p>
      <w:pPr>
        <w:spacing w:after="40"/>
      </w:pPr>
    </w:p>
    <w:p>
      <w:pPr>
        <w:pStyle w:val="Heading2"/>
      </w:pPr>
      <w:r>
        <w:t>Approval record</w:t>
      </w:r>
    </w:p>
    <w:tbl>
      <w:tblPr>
        <w:tblStyle w:val="TableGrid"/>
        <w:tblW w:type="auto" w:w="0"/>
        <w:tblLayout w:type="fixed"/>
        <w:tblLook w:firstColumn="1" w:firstRow="1" w:lastColumn="0" w:lastRow="0" w:noHBand="0" w:noVBand="1" w:val="04A0"/>
      </w:tblPr>
      <w:tblGrid>
        <w:gridCol w:w="3528"/>
        <w:gridCol w:w="2016"/>
        <w:gridCol w:w="1512"/>
        <w:gridCol w:w="3024"/>
      </w:tblGrid>
      <w:tr>
        <w:tc>
          <w:tcPr>
            <w:tcW w:type="dxa" w:w="3528"/>
            <w:shd w:val="clear" w:color="auto" w:fill="E3E9F1"/>
          </w:tcPr>
          <w:p>
            <w:pPr>
              <w:spacing w:after="0"/>
            </w:pPr>
            <w:r>
              <w:rPr>
                <w:b/>
                <w:sz w:val="17"/>
              </w:rPr>
              <w:t>Approver (role)</w:t>
            </w:r>
          </w:p>
        </w:tc>
        <w:tc>
          <w:tcPr>
            <w:tcW w:type="dxa" w:w="2016"/>
            <w:shd w:val="clear" w:color="auto" w:fill="E3E9F1"/>
          </w:tcPr>
          <w:p>
            <w:pPr>
              <w:spacing w:after="0"/>
            </w:pPr>
            <w:r>
              <w:rPr>
                <w:b/>
                <w:sz w:val="17"/>
              </w:rPr>
              <w:t>Decision</w:t>
            </w:r>
          </w:p>
        </w:tc>
        <w:tc>
          <w:tcPr>
            <w:tcW w:type="dxa" w:w="1512"/>
            <w:shd w:val="clear" w:color="auto" w:fill="E3E9F1"/>
          </w:tcPr>
          <w:p>
            <w:pPr>
              <w:spacing w:after="0"/>
            </w:pPr>
            <w:r>
              <w:rPr>
                <w:b/>
                <w:sz w:val="17"/>
              </w:rPr>
              <w:t>Date</w:t>
            </w:r>
          </w:p>
        </w:tc>
        <w:tc>
          <w:tcPr>
            <w:tcW w:type="dxa" w:w="3024"/>
            <w:shd w:val="clear" w:color="auto" w:fill="E3E9F1"/>
          </w:tcPr>
          <w:p>
            <w:pPr>
              <w:spacing w:after="0"/>
            </w:pPr>
            <w:r>
              <w:rPr>
                <w:b/>
                <w:sz w:val="17"/>
              </w:rPr>
              <w:t>Evidence reference</w:t>
            </w:r>
          </w:p>
        </w:tc>
      </w:tr>
      <w:tr>
        <w:tc>
          <w:tcPr>
            <w:tcW w:type="dxa" w:w="3528"/>
          </w:tcPr>
          <w:p>
            <w:pPr>
              <w:spacing w:after="0"/>
            </w:pPr>
            <w:r>
              <w:rPr>
                <w:sz w:val="17"/>
              </w:rPr>
              <w:t>Managing Partner A</w:t>
            </w:r>
          </w:p>
        </w:tc>
        <w:tc>
          <w:tcPr>
            <w:tcW w:type="dxa" w:w="2016"/>
          </w:tcPr>
          <w:p>
            <w:pPr>
              <w:spacing w:after="0"/>
            </w:pPr>
            <w:r>
              <w:rPr>
                <w:sz w:val="17"/>
              </w:rPr>
              <w:t>Approved</w:t>
            </w:r>
          </w:p>
        </w:tc>
        <w:tc>
          <w:tcPr>
            <w:tcW w:type="dxa" w:w="1512"/>
          </w:tcPr>
          <w:p>
            <w:pPr>
              <w:spacing w:after="0"/>
            </w:pPr>
            <w:r>
              <w:rPr>
                <w:sz w:val="17"/>
              </w:rPr>
              <w:t>2026-08-27</w:t>
            </w:r>
          </w:p>
        </w:tc>
        <w:tc>
          <w:tcPr>
            <w:tcW w:type="dxa" w:w="3024"/>
          </w:tcPr>
          <w:p>
            <w:pPr>
              <w:spacing w:after="0"/>
            </w:pPr>
            <w:r>
              <w:rPr>
                <w:sz w:val="17"/>
              </w:rPr>
              <w:t>Partner meeting minutes MIN-2026-08</w:t>
            </w:r>
          </w:p>
        </w:tc>
      </w:tr>
      <w:tr>
        <w:tc>
          <w:tcPr>
            <w:tcW w:type="dxa" w:w="3528"/>
          </w:tcPr>
          <w:p>
            <w:pPr>
              <w:spacing w:after="0"/>
            </w:pPr>
            <w:r>
              <w:rPr>
                <w:sz w:val="17"/>
              </w:rPr>
              <w:t>Managing Partner B</w:t>
            </w:r>
          </w:p>
        </w:tc>
        <w:tc>
          <w:tcPr>
            <w:tcW w:type="dxa" w:w="2016"/>
          </w:tcPr>
          <w:p>
            <w:pPr>
              <w:spacing w:after="0"/>
            </w:pPr>
            <w:r>
              <w:rPr>
                <w:sz w:val="17"/>
              </w:rPr>
              <w:t>Approved</w:t>
            </w:r>
          </w:p>
        </w:tc>
        <w:tc>
          <w:tcPr>
            <w:tcW w:type="dxa" w:w="1512"/>
          </w:tcPr>
          <w:p>
            <w:pPr>
              <w:spacing w:after="0"/>
            </w:pPr>
            <w:r>
              <w:rPr>
                <w:sz w:val="17"/>
              </w:rPr>
              <w:t>2026-08-27</w:t>
            </w:r>
          </w:p>
        </w:tc>
        <w:tc>
          <w:tcPr>
            <w:tcW w:type="dxa" w:w="3024"/>
          </w:tcPr>
          <w:p>
            <w:pPr>
              <w:spacing w:after="0"/>
            </w:pPr>
            <w:r>
              <w:rPr>
                <w:sz w:val="17"/>
              </w:rPr>
              <w:t>Partner meeting minutes MIN-2026-08</w:t>
            </w:r>
          </w:p>
        </w:tc>
      </w:tr>
      <w:tr>
        <w:tc>
          <w:tcPr>
            <w:tcW w:type="dxa" w:w="3528"/>
          </w:tcPr>
          <w:p>
            <w:pPr>
              <w:spacing w:after="0"/>
            </w:pPr>
            <w:r>
              <w:rPr>
                <w:sz w:val="17"/>
              </w:rPr>
              <w:t>Security Lead (Qualified Individual)</w:t>
            </w:r>
          </w:p>
        </w:tc>
        <w:tc>
          <w:tcPr>
            <w:tcW w:type="dxa" w:w="2016"/>
          </w:tcPr>
          <w:p>
            <w:pPr>
              <w:spacing w:after="0"/>
            </w:pPr>
            <w:r>
              <w:rPr>
                <w:sz w:val="17"/>
              </w:rPr>
              <w:t>Owner sign-off</w:t>
            </w:r>
          </w:p>
        </w:tc>
        <w:tc>
          <w:tcPr>
            <w:tcW w:type="dxa" w:w="1512"/>
          </w:tcPr>
          <w:p>
            <w:pPr>
              <w:spacing w:after="0"/>
            </w:pPr>
            <w:r>
              <w:rPr>
                <w:sz w:val="17"/>
              </w:rPr>
              <w:t>2026-08-25</w:t>
            </w:r>
          </w:p>
        </w:tc>
        <w:tc>
          <w:tcPr>
            <w:tcW w:type="dxa" w:w="3024"/>
          </w:tcPr>
          <w:p>
            <w:pPr>
              <w:spacing w:after="0"/>
            </w:pPr>
            <w:r>
              <w:rPr>
                <w:sz w:val="17"/>
              </w:rPr>
              <w:t>Signed cover memo CHT-MEMO-114</w:t>
            </w:r>
          </w:p>
        </w:tc>
      </w:tr>
    </w:tbl>
    <w:p>
      <w:pPr>
        <w:spacing w:after="40"/>
      </w:pPr>
    </w:p>
    <w:p>
      <w:pPr>
        <w:pStyle w:val="Heading2"/>
      </w:pPr>
      <w:r>
        <w:t>Contents</w:t>
      </w:r>
    </w:p>
    <w:p>
      <w:pPr>
        <w:pStyle w:val="ListBullet"/>
        <w:spacing w:after="20"/>
      </w:pPr>
      <w:r>
        <w:t>1. Purpose and scope</w:t>
      </w:r>
    </w:p>
    <w:p>
      <w:pPr>
        <w:pStyle w:val="ListBullet"/>
        <w:spacing w:after="20"/>
      </w:pPr>
      <w:r>
        <w:t>2. Roles and responsibilities</w:t>
      </w:r>
    </w:p>
    <w:p>
      <w:pPr>
        <w:pStyle w:val="ListBullet"/>
        <w:spacing w:after="20"/>
      </w:pPr>
      <w:r>
        <w:t>3. Information and system inventory</w:t>
      </w:r>
    </w:p>
    <w:p>
      <w:pPr>
        <w:pStyle w:val="ListBullet"/>
        <w:spacing w:after="20"/>
      </w:pPr>
      <w:r>
        <w:t>4. Risk assessment SOP</w:t>
      </w:r>
    </w:p>
    <w:p>
      <w:pPr>
        <w:pStyle w:val="ListBullet"/>
        <w:spacing w:after="20"/>
      </w:pPr>
      <w:r>
        <w:t>5. Access control SOP</w:t>
      </w:r>
    </w:p>
    <w:p>
      <w:pPr>
        <w:pStyle w:val="ListBullet"/>
        <w:spacing w:after="20"/>
      </w:pPr>
      <w:r>
        <w:t>6. Authentication, encryption, and device rules</w:t>
      </w:r>
    </w:p>
    <w:p>
      <w:pPr>
        <w:pStyle w:val="ListBullet"/>
        <w:spacing w:after="20"/>
      </w:pPr>
      <w:r>
        <w:t>7. Change management and secure configuration</w:t>
      </w:r>
    </w:p>
    <w:p>
      <w:pPr>
        <w:pStyle w:val="ListBullet"/>
        <w:spacing w:after="20"/>
      </w:pPr>
      <w:r>
        <w:t>8. Monitoring and logging</w:t>
      </w:r>
    </w:p>
    <w:p>
      <w:pPr>
        <w:pStyle w:val="ListBullet"/>
        <w:spacing w:after="20"/>
      </w:pPr>
      <w:r>
        <w:t>9. Training and testing SOP</w:t>
      </w:r>
    </w:p>
    <w:p>
      <w:pPr>
        <w:pStyle w:val="ListBullet"/>
        <w:spacing w:after="20"/>
      </w:pPr>
      <w:r>
        <w:t>10. Vendor oversight SOP</w:t>
      </w:r>
    </w:p>
    <w:p>
      <w:pPr>
        <w:pStyle w:val="ListBullet"/>
        <w:spacing w:after="20"/>
      </w:pPr>
      <w:r>
        <w:t>11. Incident response SOP</w:t>
      </w:r>
    </w:p>
    <w:p>
      <w:pPr>
        <w:pStyle w:val="ListBullet"/>
        <w:spacing w:after="20"/>
      </w:pPr>
      <w:r>
        <w:t>12. Retention and secure disposal SOP</w:t>
      </w:r>
    </w:p>
    <w:p>
      <w:pPr>
        <w:pStyle w:val="ListBullet"/>
        <w:spacing w:after="20"/>
      </w:pPr>
      <w:r>
        <w:t>13. Backup and business continuity</w:t>
      </w:r>
    </w:p>
    <w:p>
      <w:pPr>
        <w:pStyle w:val="ListBullet"/>
        <w:spacing w:after="20"/>
      </w:pPr>
      <w:r>
        <w:t>14. Governance, annual report, and evidence</w:t>
      </w:r>
    </w:p>
    <w:p>
      <w:pPr>
        <w:pStyle w:val="ListBullet"/>
        <w:spacing w:after="20"/>
      </w:pPr>
      <w:r>
        <w:t>15. Glossary</w:t>
      </w:r>
    </w:p>
    <w:p>
      <w:pPr>
        <w:pStyle w:val="ListBullet"/>
        <w:spacing w:after="20"/>
      </w:pPr>
      <w:r>
        <w:t>Appendix A - Annual compliance calendar</w:t>
      </w:r>
    </w:p>
    <w:p>
      <w:pPr>
        <w:pStyle w:val="ListBullet"/>
        <w:spacing w:after="20"/>
      </w:pPr>
      <w:r>
        <w:t>Appendix B - Responsibility matrix (RACI)</w:t>
      </w:r>
    </w:p>
    <w:p>
      <w:pPr>
        <w:pStyle w:val="ListBullet"/>
        <w:spacing w:after="20"/>
      </w:pPr>
      <w:r>
        <w:t>Appendix C - Forms and log fields</w:t>
      </w:r>
    </w:p>
    <w:p>
      <w:pPr>
        <w:pStyle w:val="ListBullet"/>
        <w:spacing w:after="20"/>
      </w:pPr>
      <w:r>
        <w:t>Appendix D - Retention schedule</w:t>
      </w:r>
    </w:p>
    <w:p>
      <w:pPr>
        <w:pStyle w:val="ListBullet"/>
        <w:spacing w:after="20"/>
      </w:pPr>
      <w:r>
        <w:t>Appendix E - Service provider register</w:t>
      </w:r>
    </w:p>
    <w:p>
      <w:pPr>
        <w:pStyle w:val="ListBullet"/>
        <w:spacing w:after="20"/>
      </w:pPr>
      <w:r>
        <w:t>Appendices F onward - Control evidence records</w:t>
      </w:r>
    </w:p>
    <w:p>
      <w:pPr>
        <w:pStyle w:val="Heading1"/>
      </w:pPr>
      <w:r>
        <w:t>1. Purpose and scope</w:t>
      </w:r>
    </w:p>
    <w:p>
      <w:r>
        <w:t>Cedar Hollow is a fictional tax preparer and electronic return originator. This information security program covers taxpayer data, tax return information, client portal records, paper files, laptops, cloud services, and vendors that handle customer information. The program is designed to protect the security, confidentiality, and integrity of customer information, to protect against reasonably anticipated threats or hazards, and to protect against unauthorized access that could result in substantial harm or inconvenience to any customer.</w:t>
      </w:r>
    </w:p>
    <w:p>
      <w:r>
        <w:t>The Security Lead is designated as the Qualified Individual responsible for overseeing, implementing, and enforcing this information security program. The Security Lead maintains a system and data inventory and reviews this WISP every year and after material changes, such as a new office, a new tax software platform, a merger, or a security event.</w:t>
      </w:r>
    </w:p>
    <w:p>
      <w:pPr>
        <w:pStyle w:val="Heading2"/>
      </w:pPr>
      <w:r>
        <w:t>1.1 Information in scope</w:t>
      </w:r>
    </w:p>
    <w:tbl>
      <w:tblPr>
        <w:tblStyle w:val="TableGrid"/>
        <w:tblW w:type="auto" w:w="0"/>
        <w:tblLayout w:type="fixed"/>
        <w:tblLook w:firstColumn="1" w:firstRow="1" w:lastColumn="0" w:lastRow="0" w:noHBand="0" w:noVBand="1" w:val="04A0"/>
      </w:tblPr>
      <w:tblGrid>
        <w:gridCol w:w="2520"/>
        <w:gridCol w:w="5040"/>
        <w:gridCol w:w="2520"/>
      </w:tblGrid>
      <w:tr>
        <w:tc>
          <w:tcPr>
            <w:tcW w:type="dxa" w:w="2520"/>
            <w:shd w:val="clear" w:color="auto" w:fill="E3E9F1"/>
          </w:tcPr>
          <w:p>
            <w:pPr>
              <w:spacing w:after="0"/>
            </w:pPr>
            <w:r>
              <w:rPr>
                <w:b/>
                <w:sz w:val="17"/>
              </w:rPr>
              <w:t>Information type</w:t>
            </w:r>
          </w:p>
        </w:tc>
        <w:tc>
          <w:tcPr>
            <w:tcW w:type="dxa" w:w="5040"/>
            <w:shd w:val="clear" w:color="auto" w:fill="E3E9F1"/>
          </w:tcPr>
          <w:p>
            <w:pPr>
              <w:spacing w:after="0"/>
            </w:pPr>
            <w:r>
              <w:rPr>
                <w:b/>
                <w:sz w:val="17"/>
              </w:rPr>
              <w:t>Examples</w:t>
            </w:r>
          </w:p>
        </w:tc>
        <w:tc>
          <w:tcPr>
            <w:tcW w:type="dxa" w:w="2520"/>
            <w:shd w:val="clear" w:color="auto" w:fill="E3E9F1"/>
          </w:tcPr>
          <w:p>
            <w:pPr>
              <w:spacing w:after="0"/>
            </w:pPr>
            <w:r>
              <w:rPr>
                <w:b/>
                <w:sz w:val="17"/>
              </w:rPr>
              <w:t>Formats</w:t>
            </w:r>
          </w:p>
        </w:tc>
      </w:tr>
      <w:tr>
        <w:tc>
          <w:tcPr>
            <w:tcW w:type="dxa" w:w="2520"/>
          </w:tcPr>
          <w:p>
            <w:pPr>
              <w:spacing w:after="0"/>
            </w:pPr>
            <w:r>
              <w:rPr>
                <w:sz w:val="17"/>
              </w:rPr>
              <w:t>Taxpayer identity data</w:t>
            </w:r>
          </w:p>
        </w:tc>
        <w:tc>
          <w:tcPr>
            <w:tcW w:type="dxa" w:w="5040"/>
          </w:tcPr>
          <w:p>
            <w:pPr>
              <w:spacing w:after="0"/>
            </w:pPr>
            <w:r>
              <w:rPr>
                <w:sz w:val="17"/>
              </w:rPr>
              <w:t>Names, SSNs, ITINs, dates of birth, identity document images</w:t>
            </w:r>
          </w:p>
        </w:tc>
        <w:tc>
          <w:tcPr>
            <w:tcW w:type="dxa" w:w="2520"/>
          </w:tcPr>
          <w:p>
            <w:pPr>
              <w:spacing w:after="0"/>
            </w:pPr>
            <w:r>
              <w:rPr>
                <w:sz w:val="17"/>
              </w:rPr>
              <w:t>Electronic, paper</w:t>
            </w:r>
          </w:p>
        </w:tc>
      </w:tr>
      <w:tr>
        <w:tc>
          <w:tcPr>
            <w:tcW w:type="dxa" w:w="2520"/>
          </w:tcPr>
          <w:p>
            <w:pPr>
              <w:spacing w:after="0"/>
            </w:pPr>
            <w:r>
              <w:rPr>
                <w:sz w:val="17"/>
              </w:rPr>
              <w:t>Tax return information</w:t>
            </w:r>
          </w:p>
        </w:tc>
        <w:tc>
          <w:tcPr>
            <w:tcW w:type="dxa" w:w="5040"/>
          </w:tcPr>
          <w:p>
            <w:pPr>
              <w:spacing w:after="0"/>
            </w:pPr>
            <w:r>
              <w:rPr>
                <w:sz w:val="17"/>
              </w:rPr>
              <w:t>Draft and filed returns, schedules, e-file acknowledgements</w:t>
            </w:r>
          </w:p>
        </w:tc>
        <w:tc>
          <w:tcPr>
            <w:tcW w:type="dxa" w:w="2520"/>
          </w:tcPr>
          <w:p>
            <w:pPr>
              <w:spacing w:after="0"/>
            </w:pPr>
            <w:r>
              <w:rPr>
                <w:sz w:val="17"/>
              </w:rPr>
              <w:t>Electronic, paper</w:t>
            </w:r>
          </w:p>
        </w:tc>
      </w:tr>
      <w:tr>
        <w:tc>
          <w:tcPr>
            <w:tcW w:type="dxa" w:w="2520"/>
          </w:tcPr>
          <w:p>
            <w:pPr>
              <w:spacing w:after="0"/>
            </w:pPr>
            <w:r>
              <w:rPr>
                <w:sz w:val="17"/>
              </w:rPr>
              <w:t>Financial account data</w:t>
            </w:r>
          </w:p>
        </w:tc>
        <w:tc>
          <w:tcPr>
            <w:tcW w:type="dxa" w:w="5040"/>
          </w:tcPr>
          <w:p>
            <w:pPr>
              <w:spacing w:after="0"/>
            </w:pPr>
            <w:r>
              <w:rPr>
                <w:sz w:val="17"/>
              </w:rPr>
              <w:t>Refund deposit account and routing numbers, payment records</w:t>
            </w:r>
          </w:p>
        </w:tc>
        <w:tc>
          <w:tcPr>
            <w:tcW w:type="dxa" w:w="2520"/>
          </w:tcPr>
          <w:p>
            <w:pPr>
              <w:spacing w:after="0"/>
            </w:pPr>
            <w:r>
              <w:rPr>
                <w:sz w:val="17"/>
              </w:rPr>
              <w:t>Electronic</w:t>
            </w:r>
          </w:p>
        </w:tc>
      </w:tr>
      <w:tr>
        <w:tc>
          <w:tcPr>
            <w:tcW w:type="dxa" w:w="2520"/>
          </w:tcPr>
          <w:p>
            <w:pPr>
              <w:spacing w:after="0"/>
            </w:pPr>
            <w:r>
              <w:rPr>
                <w:sz w:val="17"/>
              </w:rPr>
              <w:t>Client portal records</w:t>
            </w:r>
          </w:p>
        </w:tc>
        <w:tc>
          <w:tcPr>
            <w:tcW w:type="dxa" w:w="5040"/>
          </w:tcPr>
          <w:p>
            <w:pPr>
              <w:spacing w:after="0"/>
            </w:pPr>
            <w:r>
              <w:rPr>
                <w:sz w:val="17"/>
              </w:rPr>
              <w:t>Uploaded source documents, secure messages, signature records</w:t>
            </w:r>
          </w:p>
        </w:tc>
        <w:tc>
          <w:tcPr>
            <w:tcW w:type="dxa" w:w="2520"/>
          </w:tcPr>
          <w:p>
            <w:pPr>
              <w:spacing w:after="0"/>
            </w:pPr>
            <w:r>
              <w:rPr>
                <w:sz w:val="17"/>
              </w:rPr>
              <w:t>Electronic</w:t>
            </w:r>
          </w:p>
        </w:tc>
      </w:tr>
      <w:tr>
        <w:tc>
          <w:tcPr>
            <w:tcW w:type="dxa" w:w="2520"/>
          </w:tcPr>
          <w:p>
            <w:pPr>
              <w:spacing w:after="0"/>
            </w:pPr>
            <w:r>
              <w:rPr>
                <w:sz w:val="17"/>
              </w:rPr>
              <w:t>Engagement records</w:t>
            </w:r>
          </w:p>
        </w:tc>
        <w:tc>
          <w:tcPr>
            <w:tcW w:type="dxa" w:w="5040"/>
          </w:tcPr>
          <w:p>
            <w:pPr>
              <w:spacing w:after="0"/>
            </w:pPr>
            <w:r>
              <w:rPr>
                <w:sz w:val="17"/>
              </w:rPr>
              <w:t>Engagement letters, consent forms, preparer notes</w:t>
            </w:r>
          </w:p>
        </w:tc>
        <w:tc>
          <w:tcPr>
            <w:tcW w:type="dxa" w:w="2520"/>
          </w:tcPr>
          <w:p>
            <w:pPr>
              <w:spacing w:after="0"/>
            </w:pPr>
            <w:r>
              <w:rPr>
                <w:sz w:val="17"/>
              </w:rPr>
              <w:t>Electronic, paper</w:t>
            </w:r>
          </w:p>
        </w:tc>
      </w:tr>
    </w:tbl>
    <w:p>
      <w:pPr>
        <w:spacing w:after="40"/>
      </w:pPr>
    </w:p>
    <w:p>
      <w:pPr>
        <w:pStyle w:val="Heading2"/>
      </w:pPr>
      <w:r>
        <w:t>1.2 Systems and locations in scope</w:t>
      </w:r>
    </w:p>
    <w:p>
      <w:pPr>
        <w:pStyle w:val="ListBullet"/>
        <w:spacing w:after="20"/>
      </w:pPr>
      <w:r>
        <w:t>Main office and seasonal satellite office (fictional addresses on file with Operations).</w:t>
      </w:r>
    </w:p>
    <w:p>
      <w:pPr>
        <w:pStyle w:val="ListBullet"/>
        <w:spacing w:after="20"/>
      </w:pPr>
      <w:r>
        <w:t>Tax preparation software (hosted, fictional platform 'LedgerLine Tax').</w:t>
      </w:r>
    </w:p>
    <w:p>
      <w:pPr>
        <w:pStyle w:val="ListBullet"/>
        <w:spacing w:after="20"/>
      </w:pPr>
      <w:r>
        <w:t>Client portal (fictional platform 'PortalVault') and business email tenant.</w:t>
      </w:r>
    </w:p>
    <w:p>
      <w:pPr>
        <w:pStyle w:val="ListBullet"/>
        <w:spacing w:after="20"/>
      </w:pPr>
      <w:r>
        <w:t>Managed Windows laptops, the file server, network equipment, and printers or scanners that store images.</w:t>
      </w:r>
    </w:p>
    <w:p>
      <w:pPr>
        <w:pStyle w:val="ListBullet"/>
        <w:spacing w:after="20"/>
      </w:pPr>
      <w:r>
        <w:t>Cloud backup service and off-site records storage vendor.</w:t>
      </w:r>
    </w:p>
    <w:p>
      <w:pPr>
        <w:pStyle w:val="ListBullet"/>
        <w:spacing w:after="20"/>
      </w:pPr>
      <w:r>
        <w:t>Any service provider that receives, maintains, processes, or accesses customer information.</w:t>
      </w:r>
    </w:p>
    <w:p>
      <w:pPr>
        <w:pStyle w:val="Heading2"/>
      </w:pPr>
      <w:r>
        <w:t>1.3 Out of scope</w:t>
      </w:r>
    </w:p>
    <w:p>
      <w:r>
        <w:t>Personal devices are out of scope only because they are prohibited from storing taxpayer data. Marketing website content that never receives customer information is out of scope but is still covered by change management.</w:t>
      </w:r>
    </w:p>
    <w:p>
      <w:pPr>
        <w:pStyle w:val="Heading1"/>
      </w:pPr>
      <w:r>
        <w:t>2. Roles and responsibilities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E3E9F1"/>
          </w:tcPr>
          <w:p>
            <w:pPr>
              <w:spacing w:after="0"/>
            </w:pPr>
            <w:r>
              <w:rPr>
                <w:b/>
                <w:sz w:val="17"/>
              </w:rPr>
              <w:t>Role</w:t>
            </w:r>
          </w:p>
        </w:tc>
        <w:tc>
          <w:tcPr>
            <w:tcW w:type="dxa" w:w="7056"/>
            <w:shd w:val="clear" w:color="auto" w:fill="E3E9F1"/>
          </w:tcPr>
          <w:p>
            <w:pPr>
              <w:spacing w:after="0"/>
            </w:pPr>
            <w:r>
              <w:rPr>
                <w:b/>
                <w:sz w:val="17"/>
              </w:rPr>
              <w:t>Responsibilities</w:t>
            </w:r>
          </w:p>
        </w:tc>
      </w:tr>
      <w:tr>
        <w:tc>
          <w:tcPr>
            <w:tcW w:type="dxa" w:w="3024"/>
          </w:tcPr>
          <w:p>
            <w:pPr>
              <w:spacing w:after="0"/>
            </w:pPr>
            <w:r>
              <w:rPr>
                <w:sz w:val="17"/>
              </w:rPr>
              <w:t>Security Lead (Qualified Individual)</w:t>
            </w:r>
          </w:p>
        </w:tc>
        <w:tc>
          <w:tcPr>
            <w:tcW w:type="dxa" w:w="7056"/>
          </w:tcPr>
          <w:p>
            <w:pPr>
              <w:spacing w:after="0"/>
            </w:pPr>
            <w:r>
              <w:rPr>
                <w:sz w:val="17"/>
              </w:rPr>
              <w:t>Owns the WISP, risk assessment, control testing, incident response coordination, vendor reviews, and the annual written report to the Managing Partners.</w:t>
            </w:r>
          </w:p>
        </w:tc>
      </w:tr>
      <w:tr>
        <w:tc>
          <w:tcPr>
            <w:tcW w:type="dxa" w:w="3024"/>
          </w:tcPr>
          <w:p>
            <w:pPr>
              <w:spacing w:after="0"/>
            </w:pPr>
            <w:r>
              <w:rPr>
                <w:sz w:val="17"/>
              </w:rPr>
              <w:t>Managing Partners</w:t>
            </w:r>
          </w:p>
        </w:tc>
        <w:tc>
          <w:tcPr>
            <w:tcW w:type="dxa" w:w="7056"/>
          </w:tcPr>
          <w:p>
            <w:pPr>
              <w:spacing w:after="0"/>
            </w:pPr>
            <w:r>
              <w:rPr>
                <w:sz w:val="17"/>
              </w:rPr>
              <w:t>Approve the WISP, risk exceptions, budget, and the annual report; receive escalations for material security events.</w:t>
            </w:r>
          </w:p>
        </w:tc>
      </w:tr>
      <w:tr>
        <w:tc>
          <w:tcPr>
            <w:tcW w:type="dxa" w:w="3024"/>
          </w:tcPr>
          <w:p>
            <w:pPr>
              <w:spacing w:after="0"/>
            </w:pPr>
            <w:r>
              <w:rPr>
                <w:sz w:val="17"/>
              </w:rPr>
              <w:t>Operations Manager</w:t>
            </w:r>
          </w:p>
        </w:tc>
        <w:tc>
          <w:tcPr>
            <w:tcW w:type="dxa" w:w="7056"/>
          </w:tcPr>
          <w:p>
            <w:pPr>
              <w:spacing w:after="0"/>
            </w:pPr>
            <w:r>
              <w:rPr>
                <w:sz w:val="17"/>
              </w:rPr>
              <w:t>Approves access requests based on job need; reports role changes within one business day; owns onboarding and offboarding checklists.</w:t>
            </w:r>
          </w:p>
        </w:tc>
      </w:tr>
      <w:tr>
        <w:tc>
          <w:tcPr>
            <w:tcW w:type="dxa" w:w="3024"/>
          </w:tcPr>
          <w:p>
            <w:pPr>
              <w:spacing w:after="0"/>
            </w:pPr>
            <w:r>
              <w:rPr>
                <w:sz w:val="17"/>
              </w:rPr>
              <w:t>IT Administrator</w:t>
            </w:r>
          </w:p>
        </w:tc>
        <w:tc>
          <w:tcPr>
            <w:tcW w:type="dxa" w:w="7056"/>
          </w:tcPr>
          <w:p>
            <w:pPr>
              <w:spacing w:after="0"/>
            </w:pPr>
            <w:r>
              <w:rPr>
                <w:sz w:val="17"/>
              </w:rPr>
              <w:t>Implements access changes, MFA, encryption, patching, logging, backups, and device sanitization; disables departing staff accounts on the departure date.</w:t>
            </w:r>
          </w:p>
        </w:tc>
      </w:tr>
      <w:tr>
        <w:tc>
          <w:tcPr>
            <w:tcW w:type="dxa" w:w="3024"/>
          </w:tcPr>
          <w:p>
            <w:pPr>
              <w:spacing w:after="0"/>
            </w:pPr>
            <w:r>
              <w:rPr>
                <w:sz w:val="17"/>
              </w:rPr>
              <w:t>Records Manager</w:t>
            </w:r>
          </w:p>
        </w:tc>
        <w:tc>
          <w:tcPr>
            <w:tcW w:type="dxa" w:w="7056"/>
          </w:tcPr>
          <w:p>
            <w:pPr>
              <w:spacing w:after="0"/>
            </w:pPr>
            <w:r>
              <w:rPr>
                <w:sz w:val="17"/>
              </w:rPr>
              <w:t>Maintains the retention schedule, legal holds, disposal log, and vendor destruction certificates.</w:t>
            </w:r>
          </w:p>
        </w:tc>
      </w:tr>
      <w:tr>
        <w:tc>
          <w:tcPr>
            <w:tcW w:type="dxa" w:w="3024"/>
          </w:tcPr>
          <w:p>
            <w:pPr>
              <w:spacing w:after="0"/>
            </w:pPr>
            <w:r>
              <w:rPr>
                <w:sz w:val="17"/>
              </w:rPr>
              <w:t>Procurement</w:t>
            </w:r>
          </w:p>
        </w:tc>
        <w:tc>
          <w:tcPr>
            <w:tcW w:type="dxa" w:w="7056"/>
          </w:tcPr>
          <w:p>
            <w:pPr>
              <w:spacing w:after="0"/>
            </w:pPr>
            <w:r>
              <w:rPr>
                <w:sz w:val="17"/>
              </w:rPr>
              <w:t>Performs service provider due diligence before contract signature and keeps contract security clauses current.</w:t>
            </w:r>
          </w:p>
        </w:tc>
      </w:tr>
      <w:tr>
        <w:tc>
          <w:tcPr>
            <w:tcW w:type="dxa" w:w="3024"/>
          </w:tcPr>
          <w:p>
            <w:pPr>
              <w:spacing w:after="0"/>
            </w:pPr>
            <w:r>
              <w:rPr>
                <w:sz w:val="17"/>
              </w:rPr>
              <w:t>All staff</w:t>
            </w:r>
          </w:p>
        </w:tc>
        <w:tc>
          <w:tcPr>
            <w:tcW w:type="dxa" w:w="7056"/>
          </w:tcPr>
          <w:p>
            <w:pPr>
              <w:spacing w:after="0"/>
            </w:pPr>
            <w:r>
              <w:rPr>
                <w:sz w:val="17"/>
              </w:rPr>
              <w:t>Complete training, follow this WISP, protect credentials, and report suspected incidents immediately.</w:t>
            </w:r>
          </w:p>
        </w:tc>
      </w:tr>
    </w:tbl>
    <w:p>
      <w:pPr>
        <w:spacing w:after="40"/>
      </w:pPr>
    </w:p>
    <w:p>
      <w:pPr>
        <w:pStyle w:val="Heading1"/>
      </w:pPr>
      <w:r>
        <w:t>3. Information and system inventory</w:t>
      </w:r>
    </w:p>
    <w:p>
      <w:r>
        <w:t>The Security Lead maintains an inventory of data, personnel, devices, systems, and facilities that store or process customer information. Each inventory entry records the system owner, data types, location, hosting model, encryption status, MFA status, backup status, and the date it was last verified.</w:t>
      </w:r>
    </w:p>
    <w:p>
      <w:pPr>
        <w:pStyle w:val="ListBullet"/>
        <w:spacing w:after="20"/>
      </w:pPr>
      <w:r>
        <w:t>The inventory is verified each January as an input to the risk assessment.</w:t>
      </w:r>
    </w:p>
    <w:p>
      <w:pPr>
        <w:pStyle w:val="ListBullet"/>
        <w:spacing w:after="20"/>
      </w:pPr>
      <w:r>
        <w:t>New systems are added before go-live as part of the change management checklist.</w:t>
      </w:r>
    </w:p>
    <w:p>
      <w:pPr>
        <w:pStyle w:val="ListBullet"/>
        <w:spacing w:after="20"/>
      </w:pPr>
      <w:r>
        <w:t>Retired systems are moved to a retired list with the sanitization or destruction evidence reference.</w:t>
      </w:r>
    </w:p>
    <w:p>
      <w:pPr>
        <w:pStyle w:val="ListBullet"/>
        <w:spacing w:after="20"/>
      </w:pPr>
      <w:r>
        <w:t>Data flow diagrams for the client portal, e-file submission, and backups are reviewed annually.</w:t>
      </w:r>
    </w:p>
    <w:p>
      <w:pPr>
        <w:pStyle w:val="Heading1"/>
      </w:pPr>
      <w:r>
        <w:t>4. Risk assessment SOP</w:t>
      </w:r>
    </w:p>
    <w:p>
      <w:r>
        <w:t>Each January, the Security Lead documents reasonably foreseeable internal and external risks, assesses likelihood and impact, identifies controls, and records residual risk in the risk register. New software, vendors, or workflows require a risk review before launch. Managing Partners approve any risk exception, with an owner and expiration date.</w:t>
      </w:r>
    </w:p>
    <w:p>
      <w:pPr>
        <w:pStyle w:val="Heading2"/>
      </w:pPr>
      <w:r>
        <w:t>4.1 Procedure</w:t>
      </w:r>
    </w:p>
    <w:p>
      <w:pPr>
        <w:pStyle w:val="ListBullet"/>
        <w:spacing w:after="20"/>
      </w:pPr>
      <w:r>
        <w:t>Step 1 - Confirm the system and data inventory is current.</w:t>
      </w:r>
    </w:p>
    <w:p>
      <w:pPr>
        <w:pStyle w:val="ListBullet"/>
        <w:spacing w:after="20"/>
      </w:pPr>
      <w:r>
        <w:t>Step 2 - Identify threats: phishing, credential theft, ransomware, lost devices, insider misuse, vendor compromise, misdirected mail, and physical theft.</w:t>
      </w:r>
    </w:p>
    <w:p>
      <w:pPr>
        <w:pStyle w:val="ListBullet"/>
        <w:spacing w:after="20"/>
      </w:pPr>
      <w:r>
        <w:t>Step 3 - Rate likelihood and impact from 1 (low) to 5 (high) using the matrix in 4.2.</w:t>
      </w:r>
    </w:p>
    <w:p>
      <w:pPr>
        <w:pStyle w:val="ListBullet"/>
        <w:spacing w:after="20"/>
      </w:pPr>
      <w:r>
        <w:t>Step 4 - Record existing controls and evaluate whether they sufficiently address each risk.</w:t>
      </w:r>
    </w:p>
    <w:p>
      <w:pPr>
        <w:pStyle w:val="ListBullet"/>
        <w:spacing w:after="20"/>
      </w:pPr>
      <w:r>
        <w:t>Step 5 - Record residual risk, the treatment decision (mitigate, accept, transfer, avoid), owner, and target date.</w:t>
      </w:r>
    </w:p>
    <w:p>
      <w:pPr>
        <w:pStyle w:val="ListBullet"/>
        <w:spacing w:after="20"/>
      </w:pPr>
      <w:r>
        <w:t>Step 6 - Present results to the Managing Partners in the annual report and track treatments to closure.</w:t>
      </w:r>
    </w:p>
    <w:p>
      <w:pPr>
        <w:pStyle w:val="Heading2"/>
      </w:pPr>
      <w:r>
        <w:t>4.2 Scoring matrix</w:t>
      </w:r>
    </w:p>
    <w:tbl>
      <w:tblPr>
        <w:tblStyle w:val="TableGrid"/>
        <w:tblW w:type="auto" w:w="0"/>
        <w:tblLayout w:type="fixed"/>
        <w:tblLook w:firstColumn="1" w:firstRow="1" w:lastColumn="0" w:lastRow="0" w:noHBand="0" w:noVBand="1" w:val="04A0"/>
      </w:tblPr>
      <w:tblGrid>
        <w:gridCol w:w="2016"/>
        <w:gridCol w:w="2016"/>
        <w:gridCol w:w="6048"/>
      </w:tblGrid>
      <w:tr>
        <w:tc>
          <w:tcPr>
            <w:tcW w:type="dxa" w:w="2016"/>
            <w:shd w:val="clear" w:color="auto" w:fill="E3E9F1"/>
          </w:tcPr>
          <w:p>
            <w:pPr>
              <w:spacing w:after="0"/>
            </w:pPr>
            <w:r>
              <w:rPr>
                <w:b/>
                <w:sz w:val="17"/>
              </w:rPr>
              <w:t>Score (L x I)</w:t>
            </w:r>
          </w:p>
        </w:tc>
        <w:tc>
          <w:tcPr>
            <w:tcW w:type="dxa" w:w="2016"/>
            <w:shd w:val="clear" w:color="auto" w:fill="E3E9F1"/>
          </w:tcPr>
          <w:p>
            <w:pPr>
              <w:spacing w:after="0"/>
            </w:pPr>
            <w:r>
              <w:rPr>
                <w:b/>
                <w:sz w:val="17"/>
              </w:rPr>
              <w:t>Rating</w:t>
            </w:r>
          </w:p>
        </w:tc>
        <w:tc>
          <w:tcPr>
            <w:tcW w:type="dxa" w:w="6048"/>
            <w:shd w:val="clear" w:color="auto" w:fill="E3E9F1"/>
          </w:tcPr>
          <w:p>
            <w:pPr>
              <w:spacing w:after="0"/>
            </w:pPr>
            <w:r>
              <w:rPr>
                <w:b/>
                <w:sz w:val="17"/>
              </w:rPr>
              <w:t>Required action</w:t>
            </w:r>
          </w:p>
        </w:tc>
      </w:tr>
      <w:tr>
        <w:tc>
          <w:tcPr>
            <w:tcW w:type="dxa" w:w="2016"/>
          </w:tcPr>
          <w:p>
            <w:pPr>
              <w:spacing w:after="0"/>
            </w:pPr>
            <w:r>
              <w:rPr>
                <w:sz w:val="17"/>
              </w:rPr>
              <w:t>1-4</w:t>
            </w:r>
          </w:p>
        </w:tc>
        <w:tc>
          <w:tcPr>
            <w:tcW w:type="dxa" w:w="2016"/>
          </w:tcPr>
          <w:p>
            <w:pPr>
              <w:spacing w:after="0"/>
            </w:pPr>
            <w:r>
              <w:rPr>
                <w:sz w:val="17"/>
              </w:rPr>
              <w:t>Low</w:t>
            </w:r>
          </w:p>
        </w:tc>
        <w:tc>
          <w:tcPr>
            <w:tcW w:type="dxa" w:w="6048"/>
          </w:tcPr>
          <w:p>
            <w:pPr>
              <w:spacing w:after="0"/>
            </w:pPr>
            <w:r>
              <w:rPr>
                <w:sz w:val="17"/>
              </w:rPr>
              <w:t>Accept or treat during normal operations; review annually.</w:t>
            </w:r>
          </w:p>
        </w:tc>
      </w:tr>
      <w:tr>
        <w:tc>
          <w:tcPr>
            <w:tcW w:type="dxa" w:w="2016"/>
          </w:tcPr>
          <w:p>
            <w:pPr>
              <w:spacing w:after="0"/>
            </w:pPr>
            <w:r>
              <w:rPr>
                <w:sz w:val="17"/>
              </w:rPr>
              <w:t>5-9</w:t>
            </w:r>
          </w:p>
        </w:tc>
        <w:tc>
          <w:tcPr>
            <w:tcW w:type="dxa" w:w="2016"/>
          </w:tcPr>
          <w:p>
            <w:pPr>
              <w:spacing w:after="0"/>
            </w:pPr>
            <w:r>
              <w:rPr>
                <w:sz w:val="17"/>
              </w:rPr>
              <w:t>Moderate</w:t>
            </w:r>
          </w:p>
        </w:tc>
        <w:tc>
          <w:tcPr>
            <w:tcW w:type="dxa" w:w="6048"/>
          </w:tcPr>
          <w:p>
            <w:pPr>
              <w:spacing w:after="0"/>
            </w:pPr>
            <w:r>
              <w:rPr>
                <w:sz w:val="17"/>
              </w:rPr>
              <w:t>Treatment plan with owner and target date within 90 days.</w:t>
            </w:r>
          </w:p>
        </w:tc>
      </w:tr>
      <w:tr>
        <w:tc>
          <w:tcPr>
            <w:tcW w:type="dxa" w:w="2016"/>
          </w:tcPr>
          <w:p>
            <w:pPr>
              <w:spacing w:after="0"/>
            </w:pPr>
            <w:r>
              <w:rPr>
                <w:sz w:val="17"/>
              </w:rPr>
              <w:t>10-16</w:t>
            </w:r>
          </w:p>
        </w:tc>
        <w:tc>
          <w:tcPr>
            <w:tcW w:type="dxa" w:w="2016"/>
          </w:tcPr>
          <w:p>
            <w:pPr>
              <w:spacing w:after="0"/>
            </w:pPr>
            <w:r>
              <w:rPr>
                <w:sz w:val="17"/>
              </w:rPr>
              <w:t>High</w:t>
            </w:r>
          </w:p>
        </w:tc>
        <w:tc>
          <w:tcPr>
            <w:tcW w:type="dxa" w:w="6048"/>
          </w:tcPr>
          <w:p>
            <w:pPr>
              <w:spacing w:after="0"/>
            </w:pPr>
            <w:r>
              <w:rPr>
                <w:sz w:val="17"/>
              </w:rPr>
              <w:t>Treatment plan within 30 days; Managing Partners informed.</w:t>
            </w:r>
          </w:p>
        </w:tc>
      </w:tr>
      <w:tr>
        <w:tc>
          <w:tcPr>
            <w:tcW w:type="dxa" w:w="2016"/>
          </w:tcPr>
          <w:p>
            <w:pPr>
              <w:spacing w:after="0"/>
            </w:pPr>
            <w:r>
              <w:rPr>
                <w:sz w:val="17"/>
              </w:rPr>
              <w:t>17-25</w:t>
            </w:r>
          </w:p>
        </w:tc>
        <w:tc>
          <w:tcPr>
            <w:tcW w:type="dxa" w:w="2016"/>
          </w:tcPr>
          <w:p>
            <w:pPr>
              <w:spacing w:after="0"/>
            </w:pPr>
            <w:r>
              <w:rPr>
                <w:sz w:val="17"/>
              </w:rPr>
              <w:t>Critical</w:t>
            </w:r>
          </w:p>
        </w:tc>
        <w:tc>
          <w:tcPr>
            <w:tcW w:type="dxa" w:w="6048"/>
          </w:tcPr>
          <w:p>
            <w:pPr>
              <w:spacing w:after="0"/>
            </w:pPr>
            <w:r>
              <w:rPr>
                <w:sz w:val="17"/>
              </w:rPr>
              <w:t>Immediate treatment; Managing Partners approve any interim exception in writing.</w:t>
            </w:r>
          </w:p>
        </w:tc>
      </w:tr>
    </w:tbl>
    <w:p>
      <w:pPr>
        <w:spacing w:after="40"/>
      </w:pPr>
    </w:p>
    <w:p>
      <w:pPr>
        <w:pStyle w:val="Heading2"/>
      </w:pPr>
      <w:r>
        <w:t>4.3 Risk exceptions</w:t>
      </w:r>
    </w:p>
    <w:p>
      <w:r>
        <w:t>A risk exception records the risk, compensating controls, business reason, owner, approval by the Managing Partners, and an expiration date no more than twelve months out. Expired exceptions are closed or re-approved.</w:t>
      </w:r>
    </w:p>
    <w:p>
      <w:pPr>
        <w:pStyle w:val="Heading1"/>
      </w:pPr>
      <w:r>
        <w:t>5. Access control SOP</w:t>
      </w:r>
    </w:p>
    <w:p>
      <w:r>
        <w:t>Only named accounts may access customer information. The Operations Manager approves access based on job need and least privilege. The Security Lead reviews access rights quarterly; managers report role changes within one business day. IT disables departing staff accounts on their departure date. Shared accounts are prohibited.</w:t>
      </w:r>
    </w:p>
    <w:p>
      <w:pPr>
        <w:pStyle w:val="ListBullet"/>
        <w:spacing w:after="20"/>
      </w:pPr>
      <w:r>
        <w:t>Provisioning: access request form, Operations Manager approval, IT implementation, confirmation logged.</w:t>
      </w:r>
    </w:p>
    <w:p>
      <w:pPr>
        <w:pStyle w:val="ListBullet"/>
        <w:spacing w:after="20"/>
      </w:pPr>
      <w:r>
        <w:t>Privileged access: administrator accounts are separate from daily accounts and require MFA and Security Lead approval.</w:t>
      </w:r>
    </w:p>
    <w:p>
      <w:pPr>
        <w:pStyle w:val="ListBullet"/>
        <w:spacing w:after="20"/>
      </w:pPr>
      <w:r>
        <w:t>Quarterly review: system owners attest to each account; exceptions are removed within five business days.</w:t>
      </w:r>
    </w:p>
    <w:p>
      <w:pPr>
        <w:pStyle w:val="ListBullet"/>
        <w:spacing w:after="20"/>
      </w:pPr>
      <w:r>
        <w:t>Offboarding: accounts disabled on the departure date, devices returned, badge and keys collected, checklist signed.</w:t>
      </w:r>
    </w:p>
    <w:p>
      <w:pPr>
        <w:pStyle w:val="ListBullet"/>
        <w:spacing w:after="20"/>
      </w:pPr>
      <w:r>
        <w:t>Physical access: file rooms are locked; visitors sign in and are escorted.</w:t>
      </w:r>
    </w:p>
    <w:p>
      <w:pPr>
        <w:pStyle w:val="Heading1"/>
      </w:pPr>
      <w:r>
        <w:t>6. Authentication, encryption, and device rules</w:t>
      </w:r>
    </w:p>
    <w:p>
      <w:r>
        <w:t>Multi-factor authentication is required for all staff access to the client portal, email, remote access, and systems containing customer information. Customer information is encrypted at rest on managed laptops and servers and encrypted in transit with TLS. IT records encryption exceptions, applies compensating controls, and obtains written approval from the Security Lead before use. Unmanaged devices may not store taxpayer data.</w:t>
      </w:r>
    </w:p>
    <w:p>
      <w:pPr>
        <w:pStyle w:val="ListBullet"/>
        <w:spacing w:after="20"/>
      </w:pPr>
      <w:r>
        <w:t>Passwords or passphrases of at least 14 characters; password manager provided to all staff.</w:t>
      </w:r>
    </w:p>
    <w:p>
      <w:pPr>
        <w:pStyle w:val="ListBullet"/>
        <w:spacing w:after="20"/>
      </w:pPr>
      <w:r>
        <w:t>Full-disk encryption verified monthly through the device management console.</w:t>
      </w:r>
    </w:p>
    <w:p>
      <w:pPr>
        <w:pStyle w:val="ListBullet"/>
        <w:spacing w:after="20"/>
      </w:pPr>
      <w:r>
        <w:t>Screens lock after 10 minutes; lost devices are reported immediately and remotely wiped.</w:t>
      </w:r>
    </w:p>
    <w:p>
      <w:pPr>
        <w:pStyle w:val="ListBullet"/>
        <w:spacing w:after="20"/>
      </w:pPr>
      <w:r>
        <w:t>Removable media is blocked by default; approved encrypted drives are logged.</w:t>
      </w:r>
    </w:p>
    <w:p>
      <w:pPr>
        <w:pStyle w:val="Heading1"/>
      </w:pPr>
      <w:r>
        <w:t>7. Change management and secure configuration</w:t>
      </w:r>
    </w:p>
    <w:p>
      <w:r>
        <w:t>Changes to systems that store or process customer information follow a documented change procedure: request, risk review, approval by the system owner, testing, implementation window, and post-change verification. Secure baseline configurations are maintained for laptops, the file server, firewalls, and cloud tenants, and deviations are recorded.</w:t>
      </w:r>
    </w:p>
    <w:p>
      <w:pPr>
        <w:pStyle w:val="Heading1"/>
      </w:pPr>
      <w:r>
        <w:t>8. Monitoring and logging</w:t>
      </w:r>
    </w:p>
    <w:p>
      <w:r>
        <w:t>IT monitors authorized user activity and detects unauthorized access, use of, or tampering with customer information. Logs from email, the client portal, the tax platform, endpoint protection, and the firewall are retained for at least one year. Alerts are reviewed each business day during tax season and at least weekly otherwise.</w:t>
      </w:r>
    </w:p>
    <w:p>
      <w:pPr>
        <w:pStyle w:val="Heading1"/>
      </w:pPr>
      <w:r>
        <w:t>9. Training and testing SOP</w:t>
      </w:r>
    </w:p>
    <w:p>
      <w:r>
        <w:t>Employees complete security awareness training at hire and annually. The Security Lead performs quarterly phishing exercises and documents follow-up coaching. Vulnerability scans run monthly; a qualified independent tester performs an annual penetration test. The Security Lead tracks findings to closure and verifies fixes.</w:t>
      </w:r>
    </w:p>
    <w:tbl>
      <w:tblPr>
        <w:tblStyle w:val="TableGrid"/>
        <w:tblW w:type="auto" w:w="0"/>
        <w:tblLayout w:type="fixed"/>
        <w:tblLook w:firstColumn="1" w:firstRow="1" w:lastColumn="0" w:lastRow="0" w:noHBand="0" w:noVBand="1" w:val="04A0"/>
      </w:tblPr>
      <w:tblGrid>
        <w:gridCol w:w="3226"/>
        <w:gridCol w:w="2016"/>
        <w:gridCol w:w="2016"/>
        <w:gridCol w:w="2822"/>
      </w:tblGrid>
      <w:tr>
        <w:tc>
          <w:tcPr>
            <w:tcW w:type="dxa" w:w="3226"/>
            <w:shd w:val="clear" w:color="auto" w:fill="E3E9F1"/>
          </w:tcPr>
          <w:p>
            <w:pPr>
              <w:spacing w:after="0"/>
            </w:pPr>
            <w:r>
              <w:rPr>
                <w:b/>
                <w:sz w:val="17"/>
              </w:rPr>
              <w:t>Activity</w:t>
            </w:r>
          </w:p>
        </w:tc>
        <w:tc>
          <w:tcPr>
            <w:tcW w:type="dxa" w:w="2016"/>
            <w:shd w:val="clear" w:color="auto" w:fill="E3E9F1"/>
          </w:tcPr>
          <w:p>
            <w:pPr>
              <w:spacing w:after="0"/>
            </w:pPr>
            <w:r>
              <w:rPr>
                <w:b/>
                <w:sz w:val="17"/>
              </w:rPr>
              <w:t>Frequency</w:t>
            </w:r>
          </w:p>
        </w:tc>
        <w:tc>
          <w:tcPr>
            <w:tcW w:type="dxa" w:w="2016"/>
            <w:shd w:val="clear" w:color="auto" w:fill="E3E9F1"/>
          </w:tcPr>
          <w:p>
            <w:pPr>
              <w:spacing w:after="0"/>
            </w:pPr>
            <w:r>
              <w:rPr>
                <w:b/>
                <w:sz w:val="17"/>
              </w:rPr>
              <w:t>Owner</w:t>
            </w:r>
          </w:p>
        </w:tc>
        <w:tc>
          <w:tcPr>
            <w:tcW w:type="dxa" w:w="2822"/>
            <w:shd w:val="clear" w:color="auto" w:fill="E3E9F1"/>
          </w:tcPr>
          <w:p>
            <w:pPr>
              <w:spacing w:after="0"/>
            </w:pPr>
            <w:r>
              <w:rPr>
                <w:b/>
                <w:sz w:val="17"/>
              </w:rPr>
              <w:t>Evidence</w:t>
            </w:r>
          </w:p>
        </w:tc>
      </w:tr>
      <w:tr>
        <w:tc>
          <w:tcPr>
            <w:tcW w:type="dxa" w:w="3226"/>
          </w:tcPr>
          <w:p>
            <w:pPr>
              <w:spacing w:after="0"/>
            </w:pPr>
            <w:r>
              <w:rPr>
                <w:sz w:val="17"/>
              </w:rPr>
              <w:t>Security awareness training</w:t>
            </w:r>
          </w:p>
        </w:tc>
        <w:tc>
          <w:tcPr>
            <w:tcW w:type="dxa" w:w="2016"/>
          </w:tcPr>
          <w:p>
            <w:pPr>
              <w:spacing w:after="0"/>
            </w:pPr>
            <w:r>
              <w:rPr>
                <w:sz w:val="17"/>
              </w:rPr>
              <w:t>At hire and annually</w:t>
            </w:r>
          </w:p>
        </w:tc>
        <w:tc>
          <w:tcPr>
            <w:tcW w:type="dxa" w:w="2016"/>
          </w:tcPr>
          <w:p>
            <w:pPr>
              <w:spacing w:after="0"/>
            </w:pPr>
            <w:r>
              <w:rPr>
                <w:sz w:val="17"/>
              </w:rPr>
              <w:t>Security Lead</w:t>
            </w:r>
          </w:p>
        </w:tc>
        <w:tc>
          <w:tcPr>
            <w:tcW w:type="dxa" w:w="2822"/>
          </w:tcPr>
          <w:p>
            <w:pPr>
              <w:spacing w:after="0"/>
            </w:pPr>
            <w:r>
              <w:rPr>
                <w:sz w:val="17"/>
              </w:rPr>
              <w:t>Training completion log</w:t>
            </w:r>
          </w:p>
        </w:tc>
      </w:tr>
      <w:tr>
        <w:tc>
          <w:tcPr>
            <w:tcW w:type="dxa" w:w="3226"/>
          </w:tcPr>
          <w:p>
            <w:pPr>
              <w:spacing w:after="0"/>
            </w:pPr>
            <w:r>
              <w:rPr>
                <w:sz w:val="17"/>
              </w:rPr>
              <w:t>Phishing simulation</w:t>
            </w:r>
          </w:p>
        </w:tc>
        <w:tc>
          <w:tcPr>
            <w:tcW w:type="dxa" w:w="2016"/>
          </w:tcPr>
          <w:p>
            <w:pPr>
              <w:spacing w:after="0"/>
            </w:pPr>
            <w:r>
              <w:rPr>
                <w:sz w:val="17"/>
              </w:rPr>
              <w:t>Quarterly</w:t>
            </w:r>
          </w:p>
        </w:tc>
        <w:tc>
          <w:tcPr>
            <w:tcW w:type="dxa" w:w="2016"/>
          </w:tcPr>
          <w:p>
            <w:pPr>
              <w:spacing w:after="0"/>
            </w:pPr>
            <w:r>
              <w:rPr>
                <w:sz w:val="17"/>
              </w:rPr>
              <w:t>Security Lead</w:t>
            </w:r>
          </w:p>
        </w:tc>
        <w:tc>
          <w:tcPr>
            <w:tcW w:type="dxa" w:w="2822"/>
          </w:tcPr>
          <w:p>
            <w:pPr>
              <w:spacing w:after="0"/>
            </w:pPr>
            <w:r>
              <w:rPr>
                <w:sz w:val="17"/>
              </w:rPr>
              <w:t>Campaign results and coaching notes</w:t>
            </w:r>
          </w:p>
        </w:tc>
      </w:tr>
      <w:tr>
        <w:tc>
          <w:tcPr>
            <w:tcW w:type="dxa" w:w="3226"/>
          </w:tcPr>
          <w:p>
            <w:pPr>
              <w:spacing w:after="0"/>
            </w:pPr>
            <w:r>
              <w:rPr>
                <w:sz w:val="17"/>
              </w:rPr>
              <w:t>Vulnerability scan</w:t>
            </w:r>
          </w:p>
        </w:tc>
        <w:tc>
          <w:tcPr>
            <w:tcW w:type="dxa" w:w="2016"/>
          </w:tcPr>
          <w:p>
            <w:pPr>
              <w:spacing w:after="0"/>
            </w:pPr>
            <w:r>
              <w:rPr>
                <w:sz w:val="17"/>
              </w:rPr>
              <w:t>Monthly</w:t>
            </w:r>
          </w:p>
        </w:tc>
        <w:tc>
          <w:tcPr>
            <w:tcW w:type="dxa" w:w="2016"/>
          </w:tcPr>
          <w:p>
            <w:pPr>
              <w:spacing w:after="0"/>
            </w:pPr>
            <w:r>
              <w:rPr>
                <w:sz w:val="17"/>
              </w:rPr>
              <w:t>IT Administrator</w:t>
            </w:r>
          </w:p>
        </w:tc>
        <w:tc>
          <w:tcPr>
            <w:tcW w:type="dxa" w:w="2822"/>
          </w:tcPr>
          <w:p>
            <w:pPr>
              <w:spacing w:after="0"/>
            </w:pPr>
            <w:r>
              <w:rPr>
                <w:sz w:val="17"/>
              </w:rPr>
              <w:t>Scan report and remediation tickets</w:t>
            </w:r>
          </w:p>
        </w:tc>
      </w:tr>
      <w:tr>
        <w:tc>
          <w:tcPr>
            <w:tcW w:type="dxa" w:w="3226"/>
          </w:tcPr>
          <w:p>
            <w:pPr>
              <w:spacing w:after="0"/>
            </w:pPr>
            <w:r>
              <w:rPr>
                <w:sz w:val="17"/>
              </w:rPr>
              <w:t>Penetration test</w:t>
            </w:r>
          </w:p>
        </w:tc>
        <w:tc>
          <w:tcPr>
            <w:tcW w:type="dxa" w:w="2016"/>
          </w:tcPr>
          <w:p>
            <w:pPr>
              <w:spacing w:after="0"/>
            </w:pPr>
            <w:r>
              <w:rPr>
                <w:sz w:val="17"/>
              </w:rPr>
              <w:t>Annually</w:t>
            </w:r>
          </w:p>
        </w:tc>
        <w:tc>
          <w:tcPr>
            <w:tcW w:type="dxa" w:w="2016"/>
          </w:tcPr>
          <w:p>
            <w:pPr>
              <w:spacing w:after="0"/>
            </w:pPr>
            <w:r>
              <w:rPr>
                <w:sz w:val="17"/>
              </w:rPr>
              <w:t>Independent tester</w:t>
            </w:r>
          </w:p>
        </w:tc>
        <w:tc>
          <w:tcPr>
            <w:tcW w:type="dxa" w:w="2822"/>
          </w:tcPr>
          <w:p>
            <w:pPr>
              <w:spacing w:after="0"/>
            </w:pPr>
            <w:r>
              <w:rPr>
                <w:sz w:val="17"/>
              </w:rPr>
              <w:t>Test report and retest letter</w:t>
            </w:r>
          </w:p>
        </w:tc>
      </w:tr>
      <w:tr>
        <w:tc>
          <w:tcPr>
            <w:tcW w:type="dxa" w:w="3226"/>
          </w:tcPr>
          <w:p>
            <w:pPr>
              <w:spacing w:after="0"/>
            </w:pPr>
            <w:r>
              <w:rPr>
                <w:sz w:val="17"/>
              </w:rPr>
              <w:t>Security staff updates</w:t>
            </w:r>
          </w:p>
        </w:tc>
        <w:tc>
          <w:tcPr>
            <w:tcW w:type="dxa" w:w="2016"/>
          </w:tcPr>
          <w:p>
            <w:pPr>
              <w:spacing w:after="0"/>
            </w:pPr>
            <w:r>
              <w:rPr>
                <w:sz w:val="17"/>
              </w:rPr>
              <w:t>Ongoing</w:t>
            </w:r>
          </w:p>
        </w:tc>
        <w:tc>
          <w:tcPr>
            <w:tcW w:type="dxa" w:w="2016"/>
          </w:tcPr>
          <w:p>
            <w:pPr>
              <w:spacing w:after="0"/>
            </w:pPr>
            <w:r>
              <w:rPr>
                <w:sz w:val="17"/>
              </w:rPr>
              <w:t>Security Lead</w:t>
            </w:r>
          </w:p>
        </w:tc>
        <w:tc>
          <w:tcPr>
            <w:tcW w:type="dxa" w:w="2822"/>
          </w:tcPr>
          <w:p>
            <w:pPr>
              <w:spacing w:after="0"/>
            </w:pPr>
            <w:r>
              <w:rPr>
                <w:sz w:val="17"/>
              </w:rPr>
              <w:t>Continuing education records</w:t>
            </w:r>
          </w:p>
        </w:tc>
      </w:tr>
    </w:tbl>
    <w:p>
      <w:pPr>
        <w:spacing w:after="40"/>
      </w:pPr>
    </w:p>
    <w:p>
      <w:pPr>
        <w:pStyle w:val="Heading1"/>
      </w:pPr>
      <w:r>
        <w:t>10. Vendor oversight SOP</w:t>
      </w:r>
    </w:p>
    <w:p>
      <w:r>
        <w:t>Before a service provider receives customer information, Procurement documents due diligence on its safeguards and incident response. Contracts require appropriate security controls and prompt incident notice. The Security Lead reviews critical providers annually and records remediation for material gaps.</w:t>
      </w:r>
    </w:p>
    <w:p>
      <w:pPr>
        <w:pStyle w:val="ListBullet"/>
        <w:spacing w:after="20"/>
      </w:pPr>
      <w:r>
        <w:t>Tiering: critical (stores or processes customer information), important, and low.</w:t>
      </w:r>
    </w:p>
    <w:p>
      <w:pPr>
        <w:pStyle w:val="ListBullet"/>
        <w:spacing w:after="20"/>
      </w:pPr>
      <w:r>
        <w:t>Due diligence: security questionnaire, independent assurance report where available, breach history, and insurance.</w:t>
      </w:r>
    </w:p>
    <w:p>
      <w:pPr>
        <w:pStyle w:val="ListBullet"/>
        <w:spacing w:after="20"/>
      </w:pPr>
      <w:r>
        <w:t>Contract terms: safeguards, confidentiality, incident notice, return or destruction of data, and right to assess.</w:t>
      </w:r>
    </w:p>
    <w:p>
      <w:pPr>
        <w:pStyle w:val="ListBullet"/>
        <w:spacing w:after="20"/>
      </w:pPr>
      <w:r>
        <w:t>Annual review: critical providers re-assessed; findings logged with owner and due date.</w:t>
      </w:r>
    </w:p>
    <w:p>
      <w:pPr>
        <w:pStyle w:val="Heading1"/>
      </w:pPr>
      <w:r>
        <w:t>11. Incident response SOP</w:t>
      </w:r>
    </w:p>
    <w:p>
      <w:r>
        <w:t>Staff report suspected unauthorized access immediately to the Security Lead. The incident response team preserves evidence, contains affected accounts, assesses what customer information was involved, coordinates recovery, and records decisions in an incident log. Legal counsel determines any applicable customer or regulator notice obligations, including whether an event involving unencrypted information of 500 or more consumers must be reported to the FTC no later than 30 days after discovery. The team conducts a lessons-learned review within 30 days of closure.</w:t>
      </w:r>
    </w:p>
    <w:p>
      <w:pPr>
        <w:pStyle w:val="ListBullet"/>
        <w:spacing w:after="20"/>
      </w:pPr>
      <w:r>
        <w:t>Phase 1 - Report and triage (immediately).</w:t>
      </w:r>
    </w:p>
    <w:p>
      <w:pPr>
        <w:pStyle w:val="ListBullet"/>
        <w:spacing w:after="20"/>
      </w:pPr>
      <w:r>
        <w:t>Phase 2 - Contain and preserve evidence (same day).</w:t>
      </w:r>
    </w:p>
    <w:p>
      <w:pPr>
        <w:pStyle w:val="ListBullet"/>
        <w:spacing w:after="20"/>
      </w:pPr>
      <w:r>
        <w:t>Phase 3 - Assess scope and information involved.</w:t>
      </w:r>
    </w:p>
    <w:p>
      <w:pPr>
        <w:pStyle w:val="ListBullet"/>
        <w:spacing w:after="20"/>
      </w:pPr>
      <w:r>
        <w:t>Phase 4 - Notify as determined by legal counsel.</w:t>
      </w:r>
    </w:p>
    <w:p>
      <w:pPr>
        <w:pStyle w:val="ListBullet"/>
        <w:spacing w:after="20"/>
      </w:pPr>
      <w:r>
        <w:t>Phase 5 - Recover and verify.</w:t>
      </w:r>
    </w:p>
    <w:p>
      <w:pPr>
        <w:pStyle w:val="ListBullet"/>
        <w:spacing w:after="20"/>
      </w:pPr>
      <w:r>
        <w:t>Phase 6 - Lessons learned within 30 days of closure; update this WISP.</w:t>
      </w:r>
    </w:p>
    <w:p>
      <w:pPr>
        <w:pStyle w:val="Heading1"/>
      </w:pPr>
      <w:r>
        <w:t>12. Retention and secure disposal SOP</w:t>
      </w:r>
    </w:p>
    <w:p>
      <w:r>
        <w:t>The Records Manager keeps a retention schedule by record type and documents legal holds. When retention expires, paper containing customer information is cross-cut shredded by an approved vendor; electronic copies are securely erased or destroyed. Vendor destruction certificates are retained. Exceptions require a documented legal or business reason and a review date. Backups follow the approved deletion schedule. Customer information is disposed of no later than two years after the last date it was used to provide a product or service, unless retention is required by law or a legitimate business need documented in the retention schedule.</w:t>
      </w:r>
    </w:p>
    <w:p>
      <w:pPr>
        <w:pStyle w:val="Heading1"/>
      </w:pPr>
      <w:r>
        <w:t>13. Backup and business continuity</w:t>
      </w:r>
    </w:p>
    <w:p>
      <w:r>
        <w:t>Backups of the file server and tax platform exports run nightly, are encrypted, and are stored off-site with the cloud backup provider. Restore tests run quarterly and results are logged. The continuity plan covers loss of the office, loss of the tax platform during filing season, and ransomware recovery.</w:t>
      </w:r>
    </w:p>
    <w:p>
      <w:pPr>
        <w:pStyle w:val="Heading1"/>
      </w:pPr>
      <w:r>
        <w:t>14. Governance, annual report, and evidence</w:t>
      </w:r>
    </w:p>
    <w:p>
      <w:r>
        <w:t>The Security Lead gives the Managing Partners a written annual report covering risk assessment results, control testing, security events, vendor status, and recommended changes. Evidence records include access reviews, training logs, scan results, incident logs, disposal certificates, and approval minutes.</w:t>
      </w:r>
    </w:p>
    <w:p>
      <w:pPr>
        <w:pStyle w:val="Heading1"/>
      </w:pPr>
      <w:r>
        <w:t>15. Glossary</w:t>
      </w:r>
    </w:p>
    <w:tbl>
      <w:tblPr>
        <w:tblStyle w:val="TableGrid"/>
        <w:tblW w:type="auto" w:w="0"/>
        <w:tblLayout w:type="fixed"/>
        <w:tblLook w:firstColumn="1" w:firstRow="1" w:lastColumn="0" w:lastRow="0" w:noHBand="0" w:noVBand="1" w:val="04A0"/>
      </w:tblPr>
      <w:tblGrid>
        <w:gridCol w:w="2822"/>
        <w:gridCol w:w="7258"/>
      </w:tblGrid>
      <w:tr>
        <w:tc>
          <w:tcPr>
            <w:tcW w:type="dxa" w:w="2822"/>
            <w:shd w:val="clear" w:color="auto" w:fill="E3E9F1"/>
          </w:tcPr>
          <w:p>
            <w:pPr>
              <w:spacing w:after="0"/>
            </w:pPr>
            <w:r>
              <w:rPr>
                <w:b/>
                <w:sz w:val="17"/>
              </w:rPr>
              <w:t>Term</w:t>
            </w:r>
          </w:p>
        </w:tc>
        <w:tc>
          <w:tcPr>
            <w:tcW w:type="dxa" w:w="7258"/>
            <w:shd w:val="clear" w:color="auto" w:fill="E3E9F1"/>
          </w:tcPr>
          <w:p>
            <w:pPr>
              <w:spacing w:after="0"/>
            </w:pPr>
            <w:r>
              <w:rPr>
                <w:b/>
                <w:sz w:val="17"/>
              </w:rPr>
              <w:t>Meaning in this WISP</w:t>
            </w:r>
          </w:p>
        </w:tc>
      </w:tr>
      <w:tr>
        <w:tc>
          <w:tcPr>
            <w:tcW w:type="dxa" w:w="2822"/>
          </w:tcPr>
          <w:p>
            <w:pPr>
              <w:spacing w:after="0"/>
            </w:pPr>
            <w:r>
              <w:rPr>
                <w:sz w:val="17"/>
              </w:rPr>
              <w:t>Customer information</w:t>
            </w:r>
          </w:p>
        </w:tc>
        <w:tc>
          <w:tcPr>
            <w:tcW w:type="dxa" w:w="7258"/>
          </w:tcPr>
          <w:p>
            <w:pPr>
              <w:spacing w:after="0"/>
            </w:pPr>
            <w:r>
              <w:rPr>
                <w:sz w:val="17"/>
              </w:rPr>
              <w:t>Any record containing nonpublic personal information about a customer, in any format.</w:t>
            </w:r>
          </w:p>
        </w:tc>
      </w:tr>
      <w:tr>
        <w:tc>
          <w:tcPr>
            <w:tcW w:type="dxa" w:w="2822"/>
          </w:tcPr>
          <w:p>
            <w:pPr>
              <w:spacing w:after="0"/>
            </w:pPr>
            <w:r>
              <w:rPr>
                <w:sz w:val="17"/>
              </w:rPr>
              <w:t>Qualified Individual</w:t>
            </w:r>
          </w:p>
        </w:tc>
        <w:tc>
          <w:tcPr>
            <w:tcW w:type="dxa" w:w="7258"/>
          </w:tcPr>
          <w:p>
            <w:pPr>
              <w:spacing w:after="0"/>
            </w:pPr>
            <w:r>
              <w:rPr>
                <w:sz w:val="17"/>
              </w:rPr>
              <w:t>The person designated to oversee, implement, and enforce the information security program (the Security Lead).</w:t>
            </w:r>
          </w:p>
        </w:tc>
      </w:tr>
      <w:tr>
        <w:tc>
          <w:tcPr>
            <w:tcW w:type="dxa" w:w="2822"/>
          </w:tcPr>
          <w:p>
            <w:pPr>
              <w:spacing w:after="0"/>
            </w:pPr>
            <w:r>
              <w:rPr>
                <w:sz w:val="17"/>
              </w:rPr>
              <w:t>Service provider</w:t>
            </w:r>
          </w:p>
        </w:tc>
        <w:tc>
          <w:tcPr>
            <w:tcW w:type="dxa" w:w="7258"/>
          </w:tcPr>
          <w:p>
            <w:pPr>
              <w:spacing w:after="0"/>
            </w:pPr>
            <w:r>
              <w:rPr>
                <w:sz w:val="17"/>
              </w:rPr>
              <w:t>Any third party that receives, maintains, processes, or accesses customer information.</w:t>
            </w:r>
          </w:p>
        </w:tc>
      </w:tr>
      <w:tr>
        <w:tc>
          <w:tcPr>
            <w:tcW w:type="dxa" w:w="2822"/>
          </w:tcPr>
          <w:p>
            <w:pPr>
              <w:spacing w:after="0"/>
            </w:pPr>
            <w:r>
              <w:rPr>
                <w:sz w:val="17"/>
              </w:rPr>
              <w:t>MFA</w:t>
            </w:r>
          </w:p>
        </w:tc>
        <w:tc>
          <w:tcPr>
            <w:tcW w:type="dxa" w:w="7258"/>
          </w:tcPr>
          <w:p>
            <w:pPr>
              <w:spacing w:after="0"/>
            </w:pPr>
            <w:r>
              <w:rPr>
                <w:sz w:val="17"/>
              </w:rPr>
              <w:t>Multi-factor authentication: at least two of knowledge, possession, or inherence factors.</w:t>
            </w:r>
          </w:p>
        </w:tc>
      </w:tr>
      <w:tr>
        <w:tc>
          <w:tcPr>
            <w:tcW w:type="dxa" w:w="2822"/>
          </w:tcPr>
          <w:p>
            <w:pPr>
              <w:spacing w:after="0"/>
            </w:pPr>
            <w:r>
              <w:rPr>
                <w:sz w:val="17"/>
              </w:rPr>
              <w:t>Encryption</w:t>
            </w:r>
          </w:p>
        </w:tc>
        <w:tc>
          <w:tcPr>
            <w:tcW w:type="dxa" w:w="7258"/>
          </w:tcPr>
          <w:p>
            <w:pPr>
              <w:spacing w:after="0"/>
            </w:pPr>
            <w:r>
              <w:rPr>
                <w:sz w:val="17"/>
              </w:rPr>
              <w:t>Transformation of data so it is unreadable without a key; at rest and in transit.</w:t>
            </w:r>
          </w:p>
        </w:tc>
      </w:tr>
      <w:tr>
        <w:tc>
          <w:tcPr>
            <w:tcW w:type="dxa" w:w="2822"/>
          </w:tcPr>
          <w:p>
            <w:pPr>
              <w:spacing w:after="0"/>
            </w:pPr>
            <w:r>
              <w:rPr>
                <w:sz w:val="17"/>
              </w:rPr>
              <w:t>Security event</w:t>
            </w:r>
          </w:p>
        </w:tc>
        <w:tc>
          <w:tcPr>
            <w:tcW w:type="dxa" w:w="7258"/>
          </w:tcPr>
          <w:p>
            <w:pPr>
              <w:spacing w:after="0"/>
            </w:pPr>
            <w:r>
              <w:rPr>
                <w:sz w:val="17"/>
              </w:rPr>
              <w:t>An event resulting in unauthorized access to, or disruption or misuse of, an information system or information.</w:t>
            </w:r>
          </w:p>
        </w:tc>
      </w:tr>
      <w:tr>
        <w:tc>
          <w:tcPr>
            <w:tcW w:type="dxa" w:w="2822"/>
          </w:tcPr>
          <w:p>
            <w:pPr>
              <w:spacing w:after="0"/>
            </w:pPr>
            <w:r>
              <w:rPr>
                <w:sz w:val="17"/>
              </w:rPr>
              <w:t>Notification event</w:t>
            </w:r>
          </w:p>
        </w:tc>
        <w:tc>
          <w:tcPr>
            <w:tcW w:type="dxa" w:w="7258"/>
          </w:tcPr>
          <w:p>
            <w:pPr>
              <w:spacing w:after="0"/>
            </w:pPr>
            <w:r>
              <w:rPr>
                <w:sz w:val="17"/>
              </w:rPr>
              <w:t>Acquisition of unencrypted customer information without authorization, as evaluated by legal counsel.</w:t>
            </w:r>
          </w:p>
        </w:tc>
      </w:tr>
      <w:tr>
        <w:tc>
          <w:tcPr>
            <w:tcW w:type="dxa" w:w="2822"/>
          </w:tcPr>
          <w:p>
            <w:pPr>
              <w:spacing w:after="0"/>
            </w:pPr>
            <w:r>
              <w:rPr>
                <w:sz w:val="17"/>
              </w:rPr>
              <w:t>Legal hold</w:t>
            </w:r>
          </w:p>
        </w:tc>
        <w:tc>
          <w:tcPr>
            <w:tcW w:type="dxa" w:w="7258"/>
          </w:tcPr>
          <w:p>
            <w:pPr>
              <w:spacing w:after="0"/>
            </w:pPr>
            <w:r>
              <w:rPr>
                <w:sz w:val="17"/>
              </w:rPr>
              <w:t>An instruction suspending disposal of records relevant to litigation or investigation.</w:t>
            </w:r>
          </w:p>
        </w:tc>
      </w:tr>
      <w:tr>
        <w:tc>
          <w:tcPr>
            <w:tcW w:type="dxa" w:w="2822"/>
          </w:tcPr>
          <w:p>
            <w:pPr>
              <w:spacing w:after="0"/>
            </w:pPr>
            <w:r>
              <w:rPr>
                <w:sz w:val="17"/>
              </w:rPr>
              <w:t>Residual risk</w:t>
            </w:r>
          </w:p>
        </w:tc>
        <w:tc>
          <w:tcPr>
            <w:tcW w:type="dxa" w:w="7258"/>
          </w:tcPr>
          <w:p>
            <w:pPr>
              <w:spacing w:after="0"/>
            </w:pPr>
            <w:r>
              <w:rPr>
                <w:sz w:val="17"/>
              </w:rPr>
              <w:t>Risk remaining after controls are applied.</w:t>
            </w:r>
          </w:p>
        </w:tc>
      </w:tr>
    </w:tbl>
    <w:p>
      <w:pPr>
        <w:spacing w:after="40"/>
      </w:pPr>
    </w:p>
    <w:p>
      <w:pPr>
        <w:pStyle w:val="Heading1"/>
      </w:pPr>
      <w:r>
        <w:t>Appendix A - Annual compliance calendar</w:t>
      </w:r>
    </w:p>
    <w:tbl>
      <w:tblPr>
        <w:tblStyle w:val="TableGrid"/>
        <w:tblW w:type="auto" w:w="0"/>
        <w:tblLayout w:type="fixed"/>
        <w:tblLook w:firstColumn="1" w:firstRow="1" w:lastColumn="0" w:lastRow="0" w:noHBand="0" w:noVBand="1" w:val="04A0"/>
      </w:tblPr>
      <w:tblGrid>
        <w:gridCol w:w="2016"/>
        <w:gridCol w:w="8064"/>
      </w:tblGrid>
      <w:tr>
        <w:tc>
          <w:tcPr>
            <w:tcW w:type="dxa" w:w="2016"/>
            <w:shd w:val="clear" w:color="auto" w:fill="E3E9F1"/>
          </w:tcPr>
          <w:p>
            <w:pPr>
              <w:spacing w:after="0"/>
            </w:pPr>
            <w:r>
              <w:rPr>
                <w:b/>
                <w:sz w:val="17"/>
              </w:rPr>
              <w:t>Month</w:t>
            </w:r>
          </w:p>
        </w:tc>
        <w:tc>
          <w:tcPr>
            <w:tcW w:type="dxa" w:w="8064"/>
            <w:shd w:val="clear" w:color="auto" w:fill="E3E9F1"/>
          </w:tcPr>
          <w:p>
            <w:pPr>
              <w:spacing w:after="0"/>
            </w:pPr>
            <w:r>
              <w:rPr>
                <w:b/>
                <w:sz w:val="17"/>
              </w:rPr>
              <w:t>Activities</w:t>
            </w:r>
          </w:p>
        </w:tc>
      </w:tr>
      <w:tr>
        <w:tc>
          <w:tcPr>
            <w:tcW w:type="dxa" w:w="2016"/>
          </w:tcPr>
          <w:p>
            <w:pPr>
              <w:spacing w:after="0"/>
            </w:pPr>
            <w:r>
              <w:rPr>
                <w:sz w:val="17"/>
              </w:rPr>
              <w:t>January</w:t>
            </w:r>
          </w:p>
        </w:tc>
        <w:tc>
          <w:tcPr>
            <w:tcW w:type="dxa" w:w="8064"/>
          </w:tcPr>
          <w:p>
            <w:pPr>
              <w:spacing w:after="0"/>
            </w:pPr>
            <w:r>
              <w:rPr>
                <w:sz w:val="17"/>
              </w:rPr>
              <w:t>Risk assessment; inventory verification; access review Q1</w:t>
            </w:r>
          </w:p>
        </w:tc>
      </w:tr>
      <w:tr>
        <w:tc>
          <w:tcPr>
            <w:tcW w:type="dxa" w:w="2016"/>
          </w:tcPr>
          <w:p>
            <w:pPr>
              <w:spacing w:after="0"/>
            </w:pPr>
            <w:r>
              <w:rPr>
                <w:sz w:val="17"/>
              </w:rPr>
              <w:t>February</w:t>
            </w:r>
          </w:p>
        </w:tc>
        <w:tc>
          <w:tcPr>
            <w:tcW w:type="dxa" w:w="8064"/>
          </w:tcPr>
          <w:p>
            <w:pPr>
              <w:spacing w:after="0"/>
            </w:pPr>
            <w:r>
              <w:rPr>
                <w:sz w:val="17"/>
              </w:rPr>
              <w:t>Phishing exercise Q1; monthly vulnerability scan</w:t>
            </w:r>
          </w:p>
        </w:tc>
      </w:tr>
      <w:tr>
        <w:tc>
          <w:tcPr>
            <w:tcW w:type="dxa" w:w="2016"/>
          </w:tcPr>
          <w:p>
            <w:pPr>
              <w:spacing w:after="0"/>
            </w:pPr>
            <w:r>
              <w:rPr>
                <w:sz w:val="17"/>
              </w:rPr>
              <w:t>March</w:t>
            </w:r>
          </w:p>
        </w:tc>
        <w:tc>
          <w:tcPr>
            <w:tcW w:type="dxa" w:w="8064"/>
          </w:tcPr>
          <w:p>
            <w:pPr>
              <w:spacing w:after="0"/>
            </w:pPr>
            <w:r>
              <w:rPr>
                <w:sz w:val="17"/>
              </w:rPr>
              <w:t>Restore test Q1; tax-season monitoring cadence review</w:t>
            </w:r>
          </w:p>
        </w:tc>
      </w:tr>
      <w:tr>
        <w:tc>
          <w:tcPr>
            <w:tcW w:type="dxa" w:w="2016"/>
          </w:tcPr>
          <w:p>
            <w:pPr>
              <w:spacing w:after="0"/>
            </w:pPr>
            <w:r>
              <w:rPr>
                <w:sz w:val="17"/>
              </w:rPr>
              <w:t>April</w:t>
            </w:r>
          </w:p>
        </w:tc>
        <w:tc>
          <w:tcPr>
            <w:tcW w:type="dxa" w:w="8064"/>
          </w:tcPr>
          <w:p>
            <w:pPr>
              <w:spacing w:after="0"/>
            </w:pPr>
            <w:r>
              <w:rPr>
                <w:sz w:val="17"/>
              </w:rPr>
              <w:t>Access review Q2; post-season device check</w:t>
            </w:r>
          </w:p>
        </w:tc>
      </w:tr>
      <w:tr>
        <w:tc>
          <w:tcPr>
            <w:tcW w:type="dxa" w:w="2016"/>
          </w:tcPr>
          <w:p>
            <w:pPr>
              <w:spacing w:after="0"/>
            </w:pPr>
            <w:r>
              <w:rPr>
                <w:sz w:val="17"/>
              </w:rPr>
              <w:t>May</w:t>
            </w:r>
          </w:p>
        </w:tc>
        <w:tc>
          <w:tcPr>
            <w:tcW w:type="dxa" w:w="8064"/>
          </w:tcPr>
          <w:p>
            <w:pPr>
              <w:spacing w:after="0"/>
            </w:pPr>
            <w:r>
              <w:rPr>
                <w:sz w:val="17"/>
              </w:rPr>
              <w:t>Phishing exercise Q2; annual vendor reviews begin</w:t>
            </w:r>
          </w:p>
        </w:tc>
      </w:tr>
      <w:tr>
        <w:tc>
          <w:tcPr>
            <w:tcW w:type="dxa" w:w="2016"/>
          </w:tcPr>
          <w:p>
            <w:pPr>
              <w:spacing w:after="0"/>
            </w:pPr>
            <w:r>
              <w:rPr>
                <w:sz w:val="17"/>
              </w:rPr>
              <w:t>June</w:t>
            </w:r>
          </w:p>
        </w:tc>
        <w:tc>
          <w:tcPr>
            <w:tcW w:type="dxa" w:w="8064"/>
          </w:tcPr>
          <w:p>
            <w:pPr>
              <w:spacing w:after="0"/>
            </w:pPr>
            <w:r>
              <w:rPr>
                <w:sz w:val="17"/>
              </w:rPr>
              <w:t>Penetration test; restore test Q2</w:t>
            </w:r>
          </w:p>
        </w:tc>
      </w:tr>
      <w:tr>
        <w:tc>
          <w:tcPr>
            <w:tcW w:type="dxa" w:w="2016"/>
          </w:tcPr>
          <w:p>
            <w:pPr>
              <w:spacing w:after="0"/>
            </w:pPr>
            <w:r>
              <w:rPr>
                <w:sz w:val="17"/>
              </w:rPr>
              <w:t>July</w:t>
            </w:r>
          </w:p>
        </w:tc>
        <w:tc>
          <w:tcPr>
            <w:tcW w:type="dxa" w:w="8064"/>
          </w:tcPr>
          <w:p>
            <w:pPr>
              <w:spacing w:after="0"/>
            </w:pPr>
            <w:r>
              <w:rPr>
                <w:sz w:val="17"/>
              </w:rPr>
              <w:t>Access review Q3; retention schedule review</w:t>
            </w:r>
          </w:p>
        </w:tc>
      </w:tr>
      <w:tr>
        <w:tc>
          <w:tcPr>
            <w:tcW w:type="dxa" w:w="2016"/>
          </w:tcPr>
          <w:p>
            <w:pPr>
              <w:spacing w:after="0"/>
            </w:pPr>
            <w:r>
              <w:rPr>
                <w:sz w:val="17"/>
              </w:rPr>
              <w:t>August</w:t>
            </w:r>
          </w:p>
        </w:tc>
        <w:tc>
          <w:tcPr>
            <w:tcW w:type="dxa" w:w="8064"/>
          </w:tcPr>
          <w:p>
            <w:pPr>
              <w:spacing w:after="0"/>
            </w:pPr>
            <w:r>
              <w:rPr>
                <w:sz w:val="17"/>
              </w:rPr>
              <w:t>Phishing exercise Q3; WISP annual review and partner approval</w:t>
            </w:r>
          </w:p>
        </w:tc>
      </w:tr>
      <w:tr>
        <w:tc>
          <w:tcPr>
            <w:tcW w:type="dxa" w:w="2016"/>
          </w:tcPr>
          <w:p>
            <w:pPr>
              <w:spacing w:after="0"/>
            </w:pPr>
            <w:r>
              <w:rPr>
                <w:sz w:val="17"/>
              </w:rPr>
              <w:t>September</w:t>
            </w:r>
          </w:p>
        </w:tc>
        <w:tc>
          <w:tcPr>
            <w:tcW w:type="dxa" w:w="8064"/>
          </w:tcPr>
          <w:p>
            <w:pPr>
              <w:spacing w:after="0"/>
            </w:pPr>
            <w:r>
              <w:rPr>
                <w:sz w:val="17"/>
              </w:rPr>
              <w:t>Annual security training; restore test Q3</w:t>
            </w:r>
          </w:p>
        </w:tc>
      </w:tr>
      <w:tr>
        <w:tc>
          <w:tcPr>
            <w:tcW w:type="dxa" w:w="2016"/>
          </w:tcPr>
          <w:p>
            <w:pPr>
              <w:spacing w:after="0"/>
            </w:pPr>
            <w:r>
              <w:rPr>
                <w:sz w:val="17"/>
              </w:rPr>
              <w:t>October</w:t>
            </w:r>
          </w:p>
        </w:tc>
        <w:tc>
          <w:tcPr>
            <w:tcW w:type="dxa" w:w="8064"/>
          </w:tcPr>
          <w:p>
            <w:pPr>
              <w:spacing w:after="0"/>
            </w:pPr>
            <w:r>
              <w:rPr>
                <w:sz w:val="17"/>
              </w:rPr>
              <w:t>Access review Q4; disposal event and certificate collection</w:t>
            </w:r>
          </w:p>
        </w:tc>
      </w:tr>
      <w:tr>
        <w:tc>
          <w:tcPr>
            <w:tcW w:type="dxa" w:w="2016"/>
          </w:tcPr>
          <w:p>
            <w:pPr>
              <w:spacing w:after="0"/>
            </w:pPr>
            <w:r>
              <w:rPr>
                <w:sz w:val="17"/>
              </w:rPr>
              <w:t>November</w:t>
            </w:r>
          </w:p>
        </w:tc>
        <w:tc>
          <w:tcPr>
            <w:tcW w:type="dxa" w:w="8064"/>
          </w:tcPr>
          <w:p>
            <w:pPr>
              <w:spacing w:after="0"/>
            </w:pPr>
            <w:r>
              <w:rPr>
                <w:sz w:val="17"/>
              </w:rPr>
              <w:t>Phishing exercise Q4; continuity tabletop exercise</w:t>
            </w:r>
          </w:p>
        </w:tc>
      </w:tr>
      <w:tr>
        <w:tc>
          <w:tcPr>
            <w:tcW w:type="dxa" w:w="2016"/>
          </w:tcPr>
          <w:p>
            <w:pPr>
              <w:spacing w:after="0"/>
            </w:pPr>
            <w:r>
              <w:rPr>
                <w:sz w:val="17"/>
              </w:rPr>
              <w:t>December</w:t>
            </w:r>
          </w:p>
        </w:tc>
        <w:tc>
          <w:tcPr>
            <w:tcW w:type="dxa" w:w="8064"/>
          </w:tcPr>
          <w:p>
            <w:pPr>
              <w:spacing w:after="0"/>
            </w:pPr>
            <w:r>
              <w:rPr>
                <w:sz w:val="17"/>
              </w:rPr>
              <w:t>Annual written report to Managing Partners; restore test Q4</w:t>
            </w:r>
          </w:p>
        </w:tc>
      </w:tr>
    </w:tbl>
    <w:p>
      <w:pPr>
        <w:spacing w:after="40"/>
      </w:pPr>
    </w:p>
    <w:p>
      <w:pPr>
        <w:pStyle w:val="Heading1"/>
      </w:pPr>
      <w:r>
        <w:t>Appendix B - Responsibility matrix (RACI)</w:t>
      </w:r>
    </w:p>
    <w:tbl>
      <w:tblPr>
        <w:tblStyle w:val="TableGrid"/>
        <w:tblW w:type="auto" w:w="0"/>
        <w:tblLayout w:type="fixed"/>
        <w:tblLook w:firstColumn="1" w:firstRow="1" w:lastColumn="0" w:lastRow="0" w:noHBand="0" w:noVBand="1" w:val="04A0"/>
      </w:tblPr>
      <w:tblGrid>
        <w:gridCol w:w="3024"/>
        <w:gridCol w:w="1613"/>
        <w:gridCol w:w="1210"/>
        <w:gridCol w:w="1411"/>
        <w:gridCol w:w="1210"/>
        <w:gridCol w:w="1613"/>
      </w:tblGrid>
      <w:tr>
        <w:tc>
          <w:tcPr>
            <w:tcW w:type="dxa" w:w="3024"/>
            <w:shd w:val="clear" w:color="auto" w:fill="E3E9F1"/>
          </w:tcPr>
          <w:p>
            <w:pPr>
              <w:spacing w:after="0"/>
            </w:pPr>
            <w:r>
              <w:rPr>
                <w:b/>
                <w:sz w:val="17"/>
              </w:rPr>
              <w:t>Activity</w:t>
            </w:r>
          </w:p>
        </w:tc>
        <w:tc>
          <w:tcPr>
            <w:tcW w:type="dxa" w:w="1613"/>
            <w:shd w:val="clear" w:color="auto" w:fill="E3E9F1"/>
          </w:tcPr>
          <w:p>
            <w:pPr>
              <w:spacing w:after="0"/>
            </w:pPr>
            <w:r>
              <w:rPr>
                <w:b/>
                <w:sz w:val="17"/>
              </w:rPr>
              <w:t>Security Lead</w:t>
            </w:r>
          </w:p>
        </w:tc>
        <w:tc>
          <w:tcPr>
            <w:tcW w:type="dxa" w:w="1210"/>
            <w:shd w:val="clear" w:color="auto" w:fill="E3E9F1"/>
          </w:tcPr>
          <w:p>
            <w:pPr>
              <w:spacing w:after="0"/>
            </w:pPr>
            <w:r>
              <w:rPr>
                <w:b/>
                <w:sz w:val="17"/>
              </w:rPr>
              <w:t>Partners</w:t>
            </w:r>
          </w:p>
        </w:tc>
        <w:tc>
          <w:tcPr>
            <w:tcW w:type="dxa" w:w="1411"/>
            <w:shd w:val="clear" w:color="auto" w:fill="E3E9F1"/>
          </w:tcPr>
          <w:p>
            <w:pPr>
              <w:spacing w:after="0"/>
            </w:pPr>
            <w:r>
              <w:rPr>
                <w:b/>
                <w:sz w:val="17"/>
              </w:rPr>
              <w:t>Ops Mgr</w:t>
            </w:r>
          </w:p>
        </w:tc>
        <w:tc>
          <w:tcPr>
            <w:tcW w:type="dxa" w:w="1210"/>
            <w:shd w:val="clear" w:color="auto" w:fill="E3E9F1"/>
          </w:tcPr>
          <w:p>
            <w:pPr>
              <w:spacing w:after="0"/>
            </w:pPr>
            <w:r>
              <w:rPr>
                <w:b/>
                <w:sz w:val="17"/>
              </w:rPr>
              <w:t>IT</w:t>
            </w:r>
          </w:p>
        </w:tc>
        <w:tc>
          <w:tcPr>
            <w:tcW w:type="dxa" w:w="1613"/>
            <w:shd w:val="clear" w:color="auto" w:fill="E3E9F1"/>
          </w:tcPr>
          <w:p>
            <w:pPr>
              <w:spacing w:after="0"/>
            </w:pPr>
            <w:r>
              <w:rPr>
                <w:b/>
                <w:sz w:val="17"/>
              </w:rPr>
              <w:t>Records</w:t>
            </w:r>
          </w:p>
        </w:tc>
      </w:tr>
      <w:tr>
        <w:tc>
          <w:tcPr>
            <w:tcW w:type="dxa" w:w="3024"/>
          </w:tcPr>
          <w:p>
            <w:pPr>
              <w:spacing w:after="0"/>
            </w:pPr>
            <w:r>
              <w:rPr>
                <w:sz w:val="17"/>
              </w:rPr>
              <w:t>Risk assessment</w:t>
            </w:r>
          </w:p>
        </w:tc>
        <w:tc>
          <w:tcPr>
            <w:tcW w:type="dxa" w:w="1613"/>
          </w:tcPr>
          <w:p>
            <w:pPr>
              <w:spacing w:after="0"/>
            </w:pPr>
            <w:r>
              <w:rPr>
                <w:sz w:val="17"/>
              </w:rPr>
              <w:t>R/A</w:t>
            </w:r>
          </w:p>
        </w:tc>
        <w:tc>
          <w:tcPr>
            <w:tcW w:type="dxa" w:w="1210"/>
          </w:tcPr>
          <w:p>
            <w:pPr>
              <w:spacing w:after="0"/>
            </w:pPr>
            <w:r>
              <w:rPr>
                <w:sz w:val="17"/>
              </w:rPr>
              <w:t>I</w:t>
            </w:r>
          </w:p>
        </w:tc>
        <w:tc>
          <w:tcPr>
            <w:tcW w:type="dxa" w:w="1411"/>
          </w:tcPr>
          <w:p>
            <w:pPr>
              <w:spacing w:after="0"/>
            </w:pPr>
            <w:r>
              <w:rPr>
                <w:sz w:val="17"/>
              </w:rPr>
              <w:t>C</w:t>
            </w:r>
          </w:p>
        </w:tc>
        <w:tc>
          <w:tcPr>
            <w:tcW w:type="dxa" w:w="1210"/>
          </w:tcPr>
          <w:p>
            <w:pPr>
              <w:spacing w:after="0"/>
            </w:pPr>
            <w:r>
              <w:rPr>
                <w:sz w:val="17"/>
              </w:rPr>
              <w:t>C</w:t>
            </w:r>
          </w:p>
        </w:tc>
        <w:tc>
          <w:tcPr>
            <w:tcW w:type="dxa" w:w="1613"/>
          </w:tcPr>
          <w:p>
            <w:pPr>
              <w:spacing w:after="0"/>
            </w:pPr>
            <w:r>
              <w:rPr>
                <w:sz w:val="17"/>
              </w:rPr>
              <w:t>C</w:t>
            </w:r>
          </w:p>
        </w:tc>
      </w:tr>
      <w:tr>
        <w:tc>
          <w:tcPr>
            <w:tcW w:type="dxa" w:w="3024"/>
          </w:tcPr>
          <w:p>
            <w:pPr>
              <w:spacing w:after="0"/>
            </w:pPr>
            <w:r>
              <w:rPr>
                <w:sz w:val="17"/>
              </w:rPr>
              <w:t>Access approval</w:t>
            </w:r>
          </w:p>
        </w:tc>
        <w:tc>
          <w:tcPr>
            <w:tcW w:type="dxa" w:w="1613"/>
          </w:tcPr>
          <w:p>
            <w:pPr>
              <w:spacing w:after="0"/>
            </w:pPr>
            <w:r>
              <w:rPr>
                <w:sz w:val="17"/>
              </w:rPr>
              <w:t>C</w:t>
            </w:r>
          </w:p>
        </w:tc>
        <w:tc>
          <w:tcPr>
            <w:tcW w:type="dxa" w:w="1210"/>
          </w:tcPr>
          <w:p>
            <w:pPr>
              <w:spacing w:after="0"/>
            </w:pPr>
            <w:r>
              <w:rPr>
                <w:sz w:val="17"/>
              </w:rPr>
              <w:t>-</w:t>
            </w:r>
          </w:p>
        </w:tc>
        <w:tc>
          <w:tcPr>
            <w:tcW w:type="dxa" w:w="1411"/>
          </w:tcPr>
          <w:p>
            <w:pPr>
              <w:spacing w:after="0"/>
            </w:pPr>
            <w:r>
              <w:rPr>
                <w:sz w:val="17"/>
              </w:rPr>
              <w:t>R/A</w:t>
            </w:r>
          </w:p>
        </w:tc>
        <w:tc>
          <w:tcPr>
            <w:tcW w:type="dxa" w:w="1210"/>
          </w:tcPr>
          <w:p>
            <w:pPr>
              <w:spacing w:after="0"/>
            </w:pPr>
            <w:r>
              <w:rPr>
                <w:sz w:val="17"/>
              </w:rPr>
              <w:t>R</w:t>
            </w:r>
          </w:p>
        </w:tc>
        <w:tc>
          <w:tcPr>
            <w:tcW w:type="dxa" w:w="1613"/>
          </w:tcPr>
          <w:p>
            <w:pPr>
              <w:spacing w:after="0"/>
            </w:pPr>
            <w:r>
              <w:rPr>
                <w:sz w:val="17"/>
              </w:rPr>
              <w:t>-</w:t>
            </w:r>
          </w:p>
        </w:tc>
      </w:tr>
      <w:tr>
        <w:tc>
          <w:tcPr>
            <w:tcW w:type="dxa" w:w="3024"/>
          </w:tcPr>
          <w:p>
            <w:pPr>
              <w:spacing w:after="0"/>
            </w:pPr>
            <w:r>
              <w:rPr>
                <w:sz w:val="17"/>
              </w:rPr>
              <w:t>Quarterly access review</w:t>
            </w:r>
          </w:p>
        </w:tc>
        <w:tc>
          <w:tcPr>
            <w:tcW w:type="dxa" w:w="1613"/>
          </w:tcPr>
          <w:p>
            <w:pPr>
              <w:spacing w:after="0"/>
            </w:pPr>
            <w:r>
              <w:rPr>
                <w:sz w:val="17"/>
              </w:rPr>
              <w:t>A</w:t>
            </w:r>
          </w:p>
        </w:tc>
        <w:tc>
          <w:tcPr>
            <w:tcW w:type="dxa" w:w="1210"/>
          </w:tcPr>
          <w:p>
            <w:pPr>
              <w:spacing w:after="0"/>
            </w:pPr>
            <w:r>
              <w:rPr>
                <w:sz w:val="17"/>
              </w:rPr>
              <w:t>I</w:t>
            </w:r>
          </w:p>
        </w:tc>
        <w:tc>
          <w:tcPr>
            <w:tcW w:type="dxa" w:w="1411"/>
          </w:tcPr>
          <w:p>
            <w:pPr>
              <w:spacing w:after="0"/>
            </w:pPr>
            <w:r>
              <w:rPr>
                <w:sz w:val="17"/>
              </w:rPr>
              <w:t>R</w:t>
            </w:r>
          </w:p>
        </w:tc>
        <w:tc>
          <w:tcPr>
            <w:tcW w:type="dxa" w:w="1210"/>
          </w:tcPr>
          <w:p>
            <w:pPr>
              <w:spacing w:after="0"/>
            </w:pPr>
            <w:r>
              <w:rPr>
                <w:sz w:val="17"/>
              </w:rPr>
              <w:t>R</w:t>
            </w:r>
          </w:p>
        </w:tc>
        <w:tc>
          <w:tcPr>
            <w:tcW w:type="dxa" w:w="1613"/>
          </w:tcPr>
          <w:p>
            <w:pPr>
              <w:spacing w:after="0"/>
            </w:pPr>
            <w:r>
              <w:rPr>
                <w:sz w:val="17"/>
              </w:rPr>
              <w:t>-</w:t>
            </w:r>
          </w:p>
        </w:tc>
      </w:tr>
      <w:tr>
        <w:tc>
          <w:tcPr>
            <w:tcW w:type="dxa" w:w="3024"/>
          </w:tcPr>
          <w:p>
            <w:pPr>
              <w:spacing w:after="0"/>
            </w:pPr>
            <w:r>
              <w:rPr>
                <w:sz w:val="17"/>
              </w:rPr>
              <w:t>MFA and encryption</w:t>
            </w:r>
          </w:p>
        </w:tc>
        <w:tc>
          <w:tcPr>
            <w:tcW w:type="dxa" w:w="1613"/>
          </w:tcPr>
          <w:p>
            <w:pPr>
              <w:spacing w:after="0"/>
            </w:pPr>
            <w:r>
              <w:rPr>
                <w:sz w:val="17"/>
              </w:rPr>
              <w:t>A</w:t>
            </w:r>
          </w:p>
        </w:tc>
        <w:tc>
          <w:tcPr>
            <w:tcW w:type="dxa" w:w="1210"/>
          </w:tcPr>
          <w:p>
            <w:pPr>
              <w:spacing w:after="0"/>
            </w:pPr>
            <w:r>
              <w:rPr>
                <w:sz w:val="17"/>
              </w:rPr>
              <w:t>-</w:t>
            </w:r>
          </w:p>
        </w:tc>
        <w:tc>
          <w:tcPr>
            <w:tcW w:type="dxa" w:w="1411"/>
          </w:tcPr>
          <w:p>
            <w:pPr>
              <w:spacing w:after="0"/>
            </w:pPr>
            <w:r>
              <w:rPr>
                <w:sz w:val="17"/>
              </w:rPr>
              <w:t>-</w:t>
            </w:r>
          </w:p>
        </w:tc>
        <w:tc>
          <w:tcPr>
            <w:tcW w:type="dxa" w:w="1210"/>
          </w:tcPr>
          <w:p>
            <w:pPr>
              <w:spacing w:after="0"/>
            </w:pPr>
            <w:r>
              <w:rPr>
                <w:sz w:val="17"/>
              </w:rPr>
              <w:t>R</w:t>
            </w:r>
          </w:p>
        </w:tc>
        <w:tc>
          <w:tcPr>
            <w:tcW w:type="dxa" w:w="1613"/>
          </w:tcPr>
          <w:p>
            <w:pPr>
              <w:spacing w:after="0"/>
            </w:pPr>
            <w:r>
              <w:rPr>
                <w:sz w:val="17"/>
              </w:rPr>
              <w:t>-</w:t>
            </w:r>
          </w:p>
        </w:tc>
      </w:tr>
      <w:tr>
        <w:tc>
          <w:tcPr>
            <w:tcW w:type="dxa" w:w="3024"/>
          </w:tcPr>
          <w:p>
            <w:pPr>
              <w:spacing w:after="0"/>
            </w:pPr>
            <w:r>
              <w:rPr>
                <w:sz w:val="17"/>
              </w:rPr>
              <w:t>Training and phishing</w:t>
            </w:r>
          </w:p>
        </w:tc>
        <w:tc>
          <w:tcPr>
            <w:tcW w:type="dxa" w:w="1613"/>
          </w:tcPr>
          <w:p>
            <w:pPr>
              <w:spacing w:after="0"/>
            </w:pPr>
            <w:r>
              <w:rPr>
                <w:sz w:val="17"/>
              </w:rPr>
              <w:t>R/A</w:t>
            </w:r>
          </w:p>
        </w:tc>
        <w:tc>
          <w:tcPr>
            <w:tcW w:type="dxa" w:w="1210"/>
          </w:tcPr>
          <w:p>
            <w:pPr>
              <w:spacing w:after="0"/>
            </w:pPr>
            <w:r>
              <w:rPr>
                <w:sz w:val="17"/>
              </w:rPr>
              <w:t>I</w:t>
            </w:r>
          </w:p>
        </w:tc>
        <w:tc>
          <w:tcPr>
            <w:tcW w:type="dxa" w:w="1411"/>
          </w:tcPr>
          <w:p>
            <w:pPr>
              <w:spacing w:after="0"/>
            </w:pPr>
            <w:r>
              <w:rPr>
                <w:sz w:val="17"/>
              </w:rPr>
              <w:t>C</w:t>
            </w:r>
          </w:p>
        </w:tc>
        <w:tc>
          <w:tcPr>
            <w:tcW w:type="dxa" w:w="1210"/>
          </w:tcPr>
          <w:p>
            <w:pPr>
              <w:spacing w:after="0"/>
            </w:pPr>
            <w:r>
              <w:rPr>
                <w:sz w:val="17"/>
              </w:rPr>
              <w:t>C</w:t>
            </w:r>
          </w:p>
        </w:tc>
        <w:tc>
          <w:tcPr>
            <w:tcW w:type="dxa" w:w="1613"/>
          </w:tcPr>
          <w:p>
            <w:pPr>
              <w:spacing w:after="0"/>
            </w:pPr>
            <w:r>
              <w:rPr>
                <w:sz w:val="17"/>
              </w:rPr>
              <w:t>-</w:t>
            </w:r>
          </w:p>
        </w:tc>
      </w:tr>
      <w:tr>
        <w:tc>
          <w:tcPr>
            <w:tcW w:type="dxa" w:w="3024"/>
          </w:tcPr>
          <w:p>
            <w:pPr>
              <w:spacing w:after="0"/>
            </w:pPr>
            <w:r>
              <w:rPr>
                <w:sz w:val="17"/>
              </w:rPr>
              <w:t>Vendor due diligence</w:t>
            </w:r>
          </w:p>
        </w:tc>
        <w:tc>
          <w:tcPr>
            <w:tcW w:type="dxa" w:w="1613"/>
          </w:tcPr>
          <w:p>
            <w:pPr>
              <w:spacing w:after="0"/>
            </w:pPr>
            <w:r>
              <w:rPr>
                <w:sz w:val="17"/>
              </w:rPr>
              <w:t>A</w:t>
            </w:r>
          </w:p>
        </w:tc>
        <w:tc>
          <w:tcPr>
            <w:tcW w:type="dxa" w:w="1210"/>
          </w:tcPr>
          <w:p>
            <w:pPr>
              <w:spacing w:after="0"/>
            </w:pPr>
            <w:r>
              <w:rPr>
                <w:sz w:val="17"/>
              </w:rPr>
              <w:t>I</w:t>
            </w:r>
          </w:p>
        </w:tc>
        <w:tc>
          <w:tcPr>
            <w:tcW w:type="dxa" w:w="1411"/>
          </w:tcPr>
          <w:p>
            <w:pPr>
              <w:spacing w:after="0"/>
            </w:pPr>
            <w:r>
              <w:rPr>
                <w:sz w:val="17"/>
              </w:rPr>
              <w:t>C</w:t>
            </w:r>
          </w:p>
        </w:tc>
        <w:tc>
          <w:tcPr>
            <w:tcW w:type="dxa" w:w="1210"/>
          </w:tcPr>
          <w:p>
            <w:pPr>
              <w:spacing w:after="0"/>
            </w:pPr>
            <w:r>
              <w:rPr>
                <w:sz w:val="17"/>
              </w:rPr>
              <w:t>C</w:t>
            </w:r>
          </w:p>
        </w:tc>
        <w:tc>
          <w:tcPr>
            <w:tcW w:type="dxa" w:w="1613"/>
          </w:tcPr>
          <w:p>
            <w:pPr>
              <w:spacing w:after="0"/>
            </w:pPr>
            <w:r>
              <w:rPr>
                <w:sz w:val="17"/>
              </w:rPr>
              <w:t>C</w:t>
            </w:r>
          </w:p>
        </w:tc>
      </w:tr>
      <w:tr>
        <w:tc>
          <w:tcPr>
            <w:tcW w:type="dxa" w:w="3024"/>
          </w:tcPr>
          <w:p>
            <w:pPr>
              <w:spacing w:after="0"/>
            </w:pPr>
            <w:r>
              <w:rPr>
                <w:sz w:val="17"/>
              </w:rPr>
              <w:t>Incident response</w:t>
            </w:r>
          </w:p>
        </w:tc>
        <w:tc>
          <w:tcPr>
            <w:tcW w:type="dxa" w:w="1613"/>
          </w:tcPr>
          <w:p>
            <w:pPr>
              <w:spacing w:after="0"/>
            </w:pPr>
            <w:r>
              <w:rPr>
                <w:sz w:val="17"/>
              </w:rPr>
              <w:t>R/A</w:t>
            </w:r>
          </w:p>
        </w:tc>
        <w:tc>
          <w:tcPr>
            <w:tcW w:type="dxa" w:w="1210"/>
          </w:tcPr>
          <w:p>
            <w:pPr>
              <w:spacing w:after="0"/>
            </w:pPr>
            <w:r>
              <w:rPr>
                <w:sz w:val="17"/>
              </w:rPr>
              <w:t>I</w:t>
            </w:r>
          </w:p>
        </w:tc>
        <w:tc>
          <w:tcPr>
            <w:tcW w:type="dxa" w:w="1411"/>
          </w:tcPr>
          <w:p>
            <w:pPr>
              <w:spacing w:after="0"/>
            </w:pPr>
            <w:r>
              <w:rPr>
                <w:sz w:val="17"/>
              </w:rPr>
              <w:t>C</w:t>
            </w:r>
          </w:p>
        </w:tc>
        <w:tc>
          <w:tcPr>
            <w:tcW w:type="dxa" w:w="1210"/>
          </w:tcPr>
          <w:p>
            <w:pPr>
              <w:spacing w:after="0"/>
            </w:pPr>
            <w:r>
              <w:rPr>
                <w:sz w:val="17"/>
              </w:rPr>
              <w:t>R</w:t>
            </w:r>
          </w:p>
        </w:tc>
        <w:tc>
          <w:tcPr>
            <w:tcW w:type="dxa" w:w="1613"/>
          </w:tcPr>
          <w:p>
            <w:pPr>
              <w:spacing w:after="0"/>
            </w:pPr>
            <w:r>
              <w:rPr>
                <w:sz w:val="17"/>
              </w:rPr>
              <w:t>C</w:t>
            </w:r>
          </w:p>
        </w:tc>
      </w:tr>
      <w:tr>
        <w:tc>
          <w:tcPr>
            <w:tcW w:type="dxa" w:w="3024"/>
          </w:tcPr>
          <w:p>
            <w:pPr>
              <w:spacing w:after="0"/>
            </w:pPr>
            <w:r>
              <w:rPr>
                <w:sz w:val="17"/>
              </w:rPr>
              <w:t>Secure disposal</w:t>
            </w:r>
          </w:p>
        </w:tc>
        <w:tc>
          <w:tcPr>
            <w:tcW w:type="dxa" w:w="1613"/>
          </w:tcPr>
          <w:p>
            <w:pPr>
              <w:spacing w:after="0"/>
            </w:pPr>
            <w:r>
              <w:rPr>
                <w:sz w:val="17"/>
              </w:rPr>
              <w:t>A</w:t>
            </w:r>
          </w:p>
        </w:tc>
        <w:tc>
          <w:tcPr>
            <w:tcW w:type="dxa" w:w="1210"/>
          </w:tcPr>
          <w:p>
            <w:pPr>
              <w:spacing w:after="0"/>
            </w:pPr>
            <w:r>
              <w:rPr>
                <w:sz w:val="17"/>
              </w:rPr>
              <w:t>-</w:t>
            </w:r>
          </w:p>
        </w:tc>
        <w:tc>
          <w:tcPr>
            <w:tcW w:type="dxa" w:w="1411"/>
          </w:tcPr>
          <w:p>
            <w:pPr>
              <w:spacing w:after="0"/>
            </w:pPr>
            <w:r>
              <w:rPr>
                <w:sz w:val="17"/>
              </w:rPr>
              <w:t>-</w:t>
            </w:r>
          </w:p>
        </w:tc>
        <w:tc>
          <w:tcPr>
            <w:tcW w:type="dxa" w:w="1210"/>
          </w:tcPr>
          <w:p>
            <w:pPr>
              <w:spacing w:after="0"/>
            </w:pPr>
            <w:r>
              <w:rPr>
                <w:sz w:val="17"/>
              </w:rPr>
              <w:t>R</w:t>
            </w:r>
          </w:p>
        </w:tc>
        <w:tc>
          <w:tcPr>
            <w:tcW w:type="dxa" w:w="1613"/>
          </w:tcPr>
          <w:p>
            <w:pPr>
              <w:spacing w:after="0"/>
            </w:pPr>
            <w:r>
              <w:rPr>
                <w:sz w:val="17"/>
              </w:rPr>
              <w:t>R</w:t>
            </w:r>
          </w:p>
        </w:tc>
      </w:tr>
      <w:tr>
        <w:tc>
          <w:tcPr>
            <w:tcW w:type="dxa" w:w="3024"/>
          </w:tcPr>
          <w:p>
            <w:pPr>
              <w:spacing w:after="0"/>
            </w:pPr>
            <w:r>
              <w:rPr>
                <w:sz w:val="17"/>
              </w:rPr>
              <w:t>Annual report</w:t>
            </w:r>
          </w:p>
        </w:tc>
        <w:tc>
          <w:tcPr>
            <w:tcW w:type="dxa" w:w="1613"/>
          </w:tcPr>
          <w:p>
            <w:pPr>
              <w:spacing w:after="0"/>
            </w:pPr>
            <w:r>
              <w:rPr>
                <w:sz w:val="17"/>
              </w:rPr>
              <w:t>R</w:t>
            </w:r>
          </w:p>
        </w:tc>
        <w:tc>
          <w:tcPr>
            <w:tcW w:type="dxa" w:w="1210"/>
          </w:tcPr>
          <w:p>
            <w:pPr>
              <w:spacing w:after="0"/>
            </w:pPr>
            <w:r>
              <w:rPr>
                <w:sz w:val="17"/>
              </w:rPr>
              <w:t>A</w:t>
            </w:r>
          </w:p>
        </w:tc>
        <w:tc>
          <w:tcPr>
            <w:tcW w:type="dxa" w:w="1411"/>
          </w:tcPr>
          <w:p>
            <w:pPr>
              <w:spacing w:after="0"/>
            </w:pPr>
            <w:r>
              <w:rPr>
                <w:sz w:val="17"/>
              </w:rPr>
              <w:t>C</w:t>
            </w:r>
          </w:p>
        </w:tc>
        <w:tc>
          <w:tcPr>
            <w:tcW w:type="dxa" w:w="1210"/>
          </w:tcPr>
          <w:p>
            <w:pPr>
              <w:spacing w:after="0"/>
            </w:pPr>
            <w:r>
              <w:rPr>
                <w:sz w:val="17"/>
              </w:rPr>
              <w:t>C</w:t>
            </w:r>
          </w:p>
        </w:tc>
        <w:tc>
          <w:tcPr>
            <w:tcW w:type="dxa" w:w="1613"/>
          </w:tcPr>
          <w:p>
            <w:pPr>
              <w:spacing w:after="0"/>
            </w:pPr>
            <w:r>
              <w:rPr>
                <w:sz w:val="17"/>
              </w:rPr>
              <w:t>C</w:t>
            </w:r>
          </w:p>
        </w:tc>
      </w:tr>
    </w:tbl>
    <w:p>
      <w:pPr>
        <w:spacing w:after="40"/>
      </w:pPr>
    </w:p>
    <w:p>
      <w:pPr>
        <w:pStyle w:val="Heading1"/>
      </w:pPr>
      <w:r>
        <w:t>Appendix C - Forms and log fields</w:t>
      </w:r>
    </w:p>
    <w:p>
      <w:pPr>
        <w:pStyle w:val="Heading2"/>
      </w:pPr>
      <w:r>
        <w:t>C.1 Access request form</w:t>
      </w:r>
    </w:p>
    <w:p>
      <w:pPr>
        <w:pStyle w:val="ListBullet"/>
        <w:spacing w:after="20"/>
      </w:pPr>
      <w:r>
        <w:t>Requester name and role</w:t>
      </w:r>
    </w:p>
    <w:p>
      <w:pPr>
        <w:pStyle w:val="ListBullet"/>
        <w:spacing w:after="20"/>
      </w:pPr>
      <w:r>
        <w:t>Systems and permission level requested</w:t>
      </w:r>
    </w:p>
    <w:p>
      <w:pPr>
        <w:pStyle w:val="ListBullet"/>
        <w:spacing w:after="20"/>
      </w:pPr>
      <w:r>
        <w:t>Business justification</w:t>
      </w:r>
    </w:p>
    <w:p>
      <w:pPr>
        <w:pStyle w:val="ListBullet"/>
        <w:spacing w:after="20"/>
      </w:pPr>
      <w:r>
        <w:t>Operations Manager approval and date</w:t>
      </w:r>
    </w:p>
    <w:p>
      <w:pPr>
        <w:pStyle w:val="ListBullet"/>
        <w:spacing w:after="20"/>
      </w:pPr>
      <w:r>
        <w:t>IT implementation date and ticket reference</w:t>
      </w:r>
    </w:p>
    <w:p>
      <w:pPr>
        <w:pStyle w:val="ListBullet"/>
        <w:spacing w:after="20"/>
      </w:pPr>
      <w:r>
        <w:t>Review due date</w:t>
      </w:r>
    </w:p>
    <w:p>
      <w:pPr>
        <w:pStyle w:val="Heading2"/>
      </w:pPr>
      <w:r>
        <w:t>C.2 Incident log</w:t>
      </w:r>
    </w:p>
    <w:p>
      <w:pPr>
        <w:pStyle w:val="ListBullet"/>
        <w:spacing w:after="20"/>
      </w:pPr>
      <w:r>
        <w:t>Incident ID and date reported</w:t>
      </w:r>
    </w:p>
    <w:p>
      <w:pPr>
        <w:pStyle w:val="ListBullet"/>
        <w:spacing w:after="20"/>
      </w:pPr>
      <w:r>
        <w:t>Reporter and detection source</w:t>
      </w:r>
    </w:p>
    <w:p>
      <w:pPr>
        <w:pStyle w:val="ListBullet"/>
        <w:spacing w:after="20"/>
      </w:pPr>
      <w:r>
        <w:t>Systems and customer information involved</w:t>
      </w:r>
    </w:p>
    <w:p>
      <w:pPr>
        <w:pStyle w:val="ListBullet"/>
        <w:spacing w:after="20"/>
      </w:pPr>
      <w:r>
        <w:t>Containment actions and times</w:t>
      </w:r>
    </w:p>
    <w:p>
      <w:pPr>
        <w:pStyle w:val="ListBullet"/>
        <w:spacing w:after="20"/>
      </w:pPr>
      <w:r>
        <w:t>Legal counsel notice determination</w:t>
      </w:r>
    </w:p>
    <w:p>
      <w:pPr>
        <w:pStyle w:val="ListBullet"/>
        <w:spacing w:after="20"/>
      </w:pPr>
      <w:r>
        <w:t>Closure date and lessons-learned reference</w:t>
      </w:r>
    </w:p>
    <w:p>
      <w:pPr>
        <w:pStyle w:val="Heading2"/>
      </w:pPr>
      <w:r>
        <w:t>C.3 Disposal log</w:t>
      </w:r>
    </w:p>
    <w:p>
      <w:pPr>
        <w:pStyle w:val="ListBullet"/>
        <w:spacing w:after="20"/>
      </w:pPr>
      <w:r>
        <w:t>Disposal event ID and date</w:t>
      </w:r>
    </w:p>
    <w:p>
      <w:pPr>
        <w:pStyle w:val="ListBullet"/>
        <w:spacing w:after="20"/>
      </w:pPr>
      <w:r>
        <w:t>Record types and approximate volume</w:t>
      </w:r>
    </w:p>
    <w:p>
      <w:pPr>
        <w:pStyle w:val="ListBullet"/>
        <w:spacing w:after="20"/>
      </w:pPr>
      <w:r>
        <w:t>Method (cross-cut shred, secure erase, physical destruction)</w:t>
      </w:r>
    </w:p>
    <w:p>
      <w:pPr>
        <w:pStyle w:val="ListBullet"/>
        <w:spacing w:after="20"/>
      </w:pPr>
      <w:r>
        <w:t>Vendor name and certificate number</w:t>
      </w:r>
    </w:p>
    <w:p>
      <w:pPr>
        <w:pStyle w:val="ListBullet"/>
        <w:spacing w:after="20"/>
      </w:pPr>
      <w:r>
        <w:t>Witness or verifier</w:t>
      </w:r>
    </w:p>
    <w:p>
      <w:pPr>
        <w:pStyle w:val="ListBullet"/>
        <w:spacing w:after="20"/>
      </w:pPr>
      <w:r>
        <w:t>Legal hold check completed (yes or no)</w:t>
      </w:r>
    </w:p>
    <w:p>
      <w:pPr>
        <w:pStyle w:val="Heading1"/>
      </w:pPr>
      <w:r>
        <w:t>Appendix D - Retention schedule</w:t>
      </w:r>
    </w:p>
    <w:tbl>
      <w:tblPr>
        <w:tblStyle w:val="TableGrid"/>
        <w:tblW w:type="auto" w:w="0"/>
        <w:tblLayout w:type="fixed"/>
        <w:tblLook w:firstColumn="1" w:firstRow="1" w:lastColumn="0" w:lastRow="0" w:noHBand="0" w:noVBand="1" w:val="04A0"/>
      </w:tblPr>
      <w:tblGrid>
        <w:gridCol w:w="3024"/>
        <w:gridCol w:w="2822"/>
        <w:gridCol w:w="2419"/>
        <w:gridCol w:w="1814"/>
      </w:tblGrid>
      <w:tr>
        <w:tc>
          <w:tcPr>
            <w:tcW w:type="dxa" w:w="3024"/>
            <w:shd w:val="clear" w:color="auto" w:fill="E3E9F1"/>
          </w:tcPr>
          <w:p>
            <w:pPr>
              <w:spacing w:after="0"/>
            </w:pPr>
            <w:r>
              <w:rPr>
                <w:b/>
                <w:sz w:val="17"/>
              </w:rPr>
              <w:t>Record type</w:t>
            </w:r>
          </w:p>
        </w:tc>
        <w:tc>
          <w:tcPr>
            <w:tcW w:type="dxa" w:w="2822"/>
            <w:shd w:val="clear" w:color="auto" w:fill="E3E9F1"/>
          </w:tcPr>
          <w:p>
            <w:pPr>
              <w:spacing w:after="0"/>
            </w:pPr>
            <w:r>
              <w:rPr>
                <w:b/>
                <w:sz w:val="17"/>
              </w:rPr>
              <w:t>Retention period</w:t>
            </w:r>
          </w:p>
        </w:tc>
        <w:tc>
          <w:tcPr>
            <w:tcW w:type="dxa" w:w="2419"/>
            <w:shd w:val="clear" w:color="auto" w:fill="E3E9F1"/>
          </w:tcPr>
          <w:p>
            <w:pPr>
              <w:spacing w:after="0"/>
            </w:pPr>
            <w:r>
              <w:rPr>
                <w:b/>
                <w:sz w:val="17"/>
              </w:rPr>
              <w:t>Disposal method</w:t>
            </w:r>
          </w:p>
        </w:tc>
        <w:tc>
          <w:tcPr>
            <w:tcW w:type="dxa" w:w="1814"/>
            <w:shd w:val="clear" w:color="auto" w:fill="E3E9F1"/>
          </w:tcPr>
          <w:p>
            <w:pPr>
              <w:spacing w:after="0"/>
            </w:pPr>
            <w:r>
              <w:rPr>
                <w:b/>
                <w:sz w:val="17"/>
              </w:rPr>
              <w:t>Owner</w:t>
            </w:r>
          </w:p>
        </w:tc>
      </w:tr>
      <w:tr>
        <w:tc>
          <w:tcPr>
            <w:tcW w:type="dxa" w:w="3024"/>
          </w:tcPr>
          <w:p>
            <w:pPr>
              <w:spacing w:after="0"/>
            </w:pPr>
            <w:r>
              <w:rPr>
                <w:sz w:val="17"/>
              </w:rPr>
              <w:t>Filed tax returns and workpapers</w:t>
            </w:r>
          </w:p>
        </w:tc>
        <w:tc>
          <w:tcPr>
            <w:tcW w:type="dxa" w:w="2822"/>
          </w:tcPr>
          <w:p>
            <w:pPr>
              <w:spacing w:after="0"/>
            </w:pPr>
            <w:r>
              <w:rPr>
                <w:sz w:val="17"/>
              </w:rPr>
              <w:t>Per legal guidance, documented by record type</w:t>
            </w:r>
          </w:p>
        </w:tc>
        <w:tc>
          <w:tcPr>
            <w:tcW w:type="dxa" w:w="2419"/>
          </w:tcPr>
          <w:p>
            <w:pPr>
              <w:spacing w:after="0"/>
            </w:pPr>
            <w:r>
              <w:rPr>
                <w:sz w:val="17"/>
              </w:rPr>
              <w:t>Cross-cut shred / secure erase</w:t>
            </w:r>
          </w:p>
        </w:tc>
        <w:tc>
          <w:tcPr>
            <w:tcW w:type="dxa" w:w="1814"/>
          </w:tcPr>
          <w:p>
            <w:pPr>
              <w:spacing w:after="0"/>
            </w:pPr>
            <w:r>
              <w:rPr>
                <w:sz w:val="17"/>
              </w:rPr>
              <w:t>Records Manager</w:t>
            </w:r>
          </w:p>
        </w:tc>
      </w:tr>
      <w:tr>
        <w:tc>
          <w:tcPr>
            <w:tcW w:type="dxa" w:w="3024"/>
          </w:tcPr>
          <w:p>
            <w:pPr>
              <w:spacing w:after="0"/>
            </w:pPr>
            <w:r>
              <w:rPr>
                <w:sz w:val="17"/>
              </w:rPr>
              <w:t>Client source documents (copies)</w:t>
            </w:r>
          </w:p>
        </w:tc>
        <w:tc>
          <w:tcPr>
            <w:tcW w:type="dxa" w:w="2822"/>
          </w:tcPr>
          <w:p>
            <w:pPr>
              <w:spacing w:after="0"/>
            </w:pPr>
            <w:r>
              <w:rPr>
                <w:sz w:val="17"/>
              </w:rPr>
              <w:t>Return to client or dispose after filing season review</w:t>
            </w:r>
          </w:p>
        </w:tc>
        <w:tc>
          <w:tcPr>
            <w:tcW w:type="dxa" w:w="2419"/>
          </w:tcPr>
          <w:p>
            <w:pPr>
              <w:spacing w:after="0"/>
            </w:pPr>
            <w:r>
              <w:rPr>
                <w:sz w:val="17"/>
              </w:rPr>
              <w:t>Cross-cut shred</w:t>
            </w:r>
          </w:p>
        </w:tc>
        <w:tc>
          <w:tcPr>
            <w:tcW w:type="dxa" w:w="1814"/>
          </w:tcPr>
          <w:p>
            <w:pPr>
              <w:spacing w:after="0"/>
            </w:pPr>
            <w:r>
              <w:rPr>
                <w:sz w:val="17"/>
              </w:rPr>
              <w:t>Records Manager</w:t>
            </w:r>
          </w:p>
        </w:tc>
      </w:tr>
      <w:tr>
        <w:tc>
          <w:tcPr>
            <w:tcW w:type="dxa" w:w="3024"/>
          </w:tcPr>
          <w:p>
            <w:pPr>
              <w:spacing w:after="0"/>
            </w:pPr>
            <w:r>
              <w:rPr>
                <w:sz w:val="17"/>
              </w:rPr>
              <w:t>Engagement letters and consents</w:t>
            </w:r>
          </w:p>
        </w:tc>
        <w:tc>
          <w:tcPr>
            <w:tcW w:type="dxa" w:w="2822"/>
          </w:tcPr>
          <w:p>
            <w:pPr>
              <w:spacing w:after="0"/>
            </w:pPr>
            <w:r>
              <w:rPr>
                <w:sz w:val="17"/>
              </w:rPr>
              <w:t>Per legal guidance</w:t>
            </w:r>
          </w:p>
        </w:tc>
        <w:tc>
          <w:tcPr>
            <w:tcW w:type="dxa" w:w="2419"/>
          </w:tcPr>
          <w:p>
            <w:pPr>
              <w:spacing w:after="0"/>
            </w:pPr>
            <w:r>
              <w:rPr>
                <w:sz w:val="17"/>
              </w:rPr>
              <w:t>Secure erase</w:t>
            </w:r>
          </w:p>
        </w:tc>
        <w:tc>
          <w:tcPr>
            <w:tcW w:type="dxa" w:w="1814"/>
          </w:tcPr>
          <w:p>
            <w:pPr>
              <w:spacing w:after="0"/>
            </w:pPr>
            <w:r>
              <w:rPr>
                <w:sz w:val="17"/>
              </w:rPr>
              <w:t>Records Manager</w:t>
            </w:r>
          </w:p>
        </w:tc>
      </w:tr>
      <w:tr>
        <w:tc>
          <w:tcPr>
            <w:tcW w:type="dxa" w:w="3024"/>
          </w:tcPr>
          <w:p>
            <w:pPr>
              <w:spacing w:after="0"/>
            </w:pPr>
            <w:r>
              <w:rPr>
                <w:sz w:val="17"/>
              </w:rPr>
              <w:t>Portal uploads</w:t>
            </w:r>
          </w:p>
        </w:tc>
        <w:tc>
          <w:tcPr>
            <w:tcW w:type="dxa" w:w="2822"/>
          </w:tcPr>
          <w:p>
            <w:pPr>
              <w:spacing w:after="0"/>
            </w:pPr>
            <w:r>
              <w:rPr>
                <w:sz w:val="17"/>
              </w:rPr>
              <w:t>Purged per approved schedule</w:t>
            </w:r>
          </w:p>
        </w:tc>
        <w:tc>
          <w:tcPr>
            <w:tcW w:type="dxa" w:w="2419"/>
          </w:tcPr>
          <w:p>
            <w:pPr>
              <w:spacing w:after="0"/>
            </w:pPr>
            <w:r>
              <w:rPr>
                <w:sz w:val="17"/>
              </w:rPr>
              <w:t>Platform purge + verification</w:t>
            </w:r>
          </w:p>
        </w:tc>
        <w:tc>
          <w:tcPr>
            <w:tcW w:type="dxa" w:w="1814"/>
          </w:tcPr>
          <w:p>
            <w:pPr>
              <w:spacing w:after="0"/>
            </w:pPr>
            <w:r>
              <w:rPr>
                <w:sz w:val="17"/>
              </w:rPr>
              <w:t>IT Administrator</w:t>
            </w:r>
          </w:p>
        </w:tc>
      </w:tr>
      <w:tr>
        <w:tc>
          <w:tcPr>
            <w:tcW w:type="dxa" w:w="3024"/>
          </w:tcPr>
          <w:p>
            <w:pPr>
              <w:spacing w:after="0"/>
            </w:pPr>
            <w:r>
              <w:rPr>
                <w:sz w:val="17"/>
              </w:rPr>
              <w:t>Backups</w:t>
            </w:r>
          </w:p>
        </w:tc>
        <w:tc>
          <w:tcPr>
            <w:tcW w:type="dxa" w:w="2822"/>
          </w:tcPr>
          <w:p>
            <w:pPr>
              <w:spacing w:after="0"/>
            </w:pPr>
            <w:r>
              <w:rPr>
                <w:sz w:val="17"/>
              </w:rPr>
              <w:t>Rolling schedule</w:t>
            </w:r>
          </w:p>
        </w:tc>
        <w:tc>
          <w:tcPr>
            <w:tcW w:type="dxa" w:w="2419"/>
          </w:tcPr>
          <w:p>
            <w:pPr>
              <w:spacing w:after="0"/>
            </w:pPr>
            <w:r>
              <w:rPr>
                <w:sz w:val="17"/>
              </w:rPr>
              <w:t>Automatic expiry verified quarterly</w:t>
            </w:r>
          </w:p>
        </w:tc>
        <w:tc>
          <w:tcPr>
            <w:tcW w:type="dxa" w:w="1814"/>
          </w:tcPr>
          <w:p>
            <w:pPr>
              <w:spacing w:after="0"/>
            </w:pPr>
            <w:r>
              <w:rPr>
                <w:sz w:val="17"/>
              </w:rPr>
              <w:t>IT Administrator</w:t>
            </w:r>
          </w:p>
        </w:tc>
      </w:tr>
      <w:tr>
        <w:tc>
          <w:tcPr>
            <w:tcW w:type="dxa" w:w="3024"/>
          </w:tcPr>
          <w:p>
            <w:pPr>
              <w:spacing w:after="0"/>
            </w:pPr>
            <w:r>
              <w:rPr>
                <w:sz w:val="17"/>
              </w:rPr>
              <w:t>Retired devices</w:t>
            </w:r>
          </w:p>
        </w:tc>
        <w:tc>
          <w:tcPr>
            <w:tcW w:type="dxa" w:w="2822"/>
          </w:tcPr>
          <w:p>
            <w:pPr>
              <w:spacing w:after="0"/>
            </w:pPr>
            <w:r>
              <w:rPr>
                <w:sz w:val="17"/>
              </w:rPr>
              <w:t>Until sanitized</w:t>
            </w:r>
          </w:p>
        </w:tc>
        <w:tc>
          <w:tcPr>
            <w:tcW w:type="dxa" w:w="2419"/>
          </w:tcPr>
          <w:p>
            <w:pPr>
              <w:spacing w:after="0"/>
            </w:pPr>
            <w:r>
              <w:rPr>
                <w:sz w:val="17"/>
              </w:rPr>
              <w:t>NIST-style purge or physical destruction</w:t>
            </w:r>
          </w:p>
        </w:tc>
        <w:tc>
          <w:tcPr>
            <w:tcW w:type="dxa" w:w="1814"/>
          </w:tcPr>
          <w:p>
            <w:pPr>
              <w:spacing w:after="0"/>
            </w:pPr>
            <w:r>
              <w:rPr>
                <w:sz w:val="17"/>
              </w:rPr>
              <w:t>IT Administrator</w:t>
            </w:r>
          </w:p>
        </w:tc>
      </w:tr>
    </w:tbl>
    <w:p>
      <w:pPr>
        <w:spacing w:after="40"/>
      </w:pPr>
    </w:p>
    <w:p>
      <w:pPr>
        <w:pStyle w:val="Heading1"/>
      </w:pPr>
      <w:r>
        <w:t>Appendix E - Service provider register</w:t>
      </w:r>
    </w:p>
    <w:tbl>
      <w:tblPr>
        <w:tblStyle w:val="TableGrid"/>
        <w:tblW w:type="auto" w:w="0"/>
        <w:tblLayout w:type="fixed"/>
        <w:tblLook w:firstColumn="1" w:firstRow="1" w:lastColumn="0" w:lastRow="0" w:noHBand="0" w:noVBand="1" w:val="04A0"/>
      </w:tblPr>
      <w:tblGrid>
        <w:gridCol w:w="2419"/>
        <w:gridCol w:w="2621"/>
        <w:gridCol w:w="1411"/>
        <w:gridCol w:w="1613"/>
        <w:gridCol w:w="2016"/>
      </w:tblGrid>
      <w:tr>
        <w:tc>
          <w:tcPr>
            <w:tcW w:type="dxa" w:w="2419"/>
            <w:shd w:val="clear" w:color="auto" w:fill="E3E9F1"/>
          </w:tcPr>
          <w:p>
            <w:pPr>
              <w:spacing w:after="0"/>
            </w:pPr>
            <w:r>
              <w:rPr>
                <w:b/>
                <w:sz w:val="17"/>
              </w:rPr>
              <w:t>Provider (fictional)</w:t>
            </w:r>
          </w:p>
        </w:tc>
        <w:tc>
          <w:tcPr>
            <w:tcW w:type="dxa" w:w="2621"/>
            <w:shd w:val="clear" w:color="auto" w:fill="E3E9F1"/>
          </w:tcPr>
          <w:p>
            <w:pPr>
              <w:spacing w:after="0"/>
            </w:pPr>
            <w:r>
              <w:rPr>
                <w:b/>
                <w:sz w:val="17"/>
              </w:rPr>
              <w:t>Service</w:t>
            </w:r>
          </w:p>
        </w:tc>
        <w:tc>
          <w:tcPr>
            <w:tcW w:type="dxa" w:w="1411"/>
            <w:shd w:val="clear" w:color="auto" w:fill="E3E9F1"/>
          </w:tcPr>
          <w:p>
            <w:pPr>
              <w:spacing w:after="0"/>
            </w:pPr>
            <w:r>
              <w:rPr>
                <w:b/>
                <w:sz w:val="17"/>
              </w:rPr>
              <w:t>Tier</w:t>
            </w:r>
          </w:p>
        </w:tc>
        <w:tc>
          <w:tcPr>
            <w:tcW w:type="dxa" w:w="1613"/>
            <w:shd w:val="clear" w:color="auto" w:fill="E3E9F1"/>
          </w:tcPr>
          <w:p>
            <w:pPr>
              <w:spacing w:after="0"/>
            </w:pPr>
            <w:r>
              <w:rPr>
                <w:b/>
                <w:sz w:val="17"/>
              </w:rPr>
              <w:t>Last review</w:t>
            </w:r>
          </w:p>
        </w:tc>
        <w:tc>
          <w:tcPr>
            <w:tcW w:type="dxa" w:w="2016"/>
            <w:shd w:val="clear" w:color="auto" w:fill="E3E9F1"/>
          </w:tcPr>
          <w:p>
            <w:pPr>
              <w:spacing w:after="0"/>
            </w:pPr>
            <w:r>
              <w:rPr>
                <w:b/>
                <w:sz w:val="17"/>
              </w:rPr>
              <w:t>Status</w:t>
            </w:r>
          </w:p>
        </w:tc>
      </w:tr>
      <w:tr>
        <w:tc>
          <w:tcPr>
            <w:tcW w:type="dxa" w:w="2419"/>
          </w:tcPr>
          <w:p>
            <w:pPr>
              <w:spacing w:after="0"/>
            </w:pPr>
            <w:r>
              <w:rPr>
                <w:sz w:val="17"/>
              </w:rPr>
              <w:t>LedgerLine Tax</w:t>
            </w:r>
          </w:p>
        </w:tc>
        <w:tc>
          <w:tcPr>
            <w:tcW w:type="dxa" w:w="2621"/>
          </w:tcPr>
          <w:p>
            <w:pPr>
              <w:spacing w:after="0"/>
            </w:pPr>
            <w:r>
              <w:rPr>
                <w:sz w:val="17"/>
              </w:rPr>
              <w:t>Tax preparation platform</w:t>
            </w:r>
          </w:p>
        </w:tc>
        <w:tc>
          <w:tcPr>
            <w:tcW w:type="dxa" w:w="1411"/>
          </w:tcPr>
          <w:p>
            <w:pPr>
              <w:spacing w:after="0"/>
            </w:pPr>
            <w:r>
              <w:rPr>
                <w:sz w:val="17"/>
              </w:rPr>
              <w:t>Critical</w:t>
            </w:r>
          </w:p>
        </w:tc>
        <w:tc>
          <w:tcPr>
            <w:tcW w:type="dxa" w:w="1613"/>
          </w:tcPr>
          <w:p>
            <w:pPr>
              <w:spacing w:after="0"/>
            </w:pPr>
            <w:r>
              <w:rPr>
                <w:sz w:val="17"/>
              </w:rPr>
              <w:t>2026-05</w:t>
            </w:r>
          </w:p>
        </w:tc>
        <w:tc>
          <w:tcPr>
            <w:tcW w:type="dxa" w:w="2016"/>
          </w:tcPr>
          <w:p>
            <w:pPr>
              <w:spacing w:after="0"/>
            </w:pPr>
            <w:r>
              <w:rPr>
                <w:sz w:val="17"/>
              </w:rPr>
              <w:t>No open findings</w:t>
            </w:r>
          </w:p>
        </w:tc>
      </w:tr>
      <w:tr>
        <w:tc>
          <w:tcPr>
            <w:tcW w:type="dxa" w:w="2419"/>
          </w:tcPr>
          <w:p>
            <w:pPr>
              <w:spacing w:after="0"/>
            </w:pPr>
            <w:r>
              <w:rPr>
                <w:sz w:val="17"/>
              </w:rPr>
              <w:t>PortalVault</w:t>
            </w:r>
          </w:p>
        </w:tc>
        <w:tc>
          <w:tcPr>
            <w:tcW w:type="dxa" w:w="2621"/>
          </w:tcPr>
          <w:p>
            <w:pPr>
              <w:spacing w:after="0"/>
            </w:pPr>
            <w:r>
              <w:rPr>
                <w:sz w:val="17"/>
              </w:rPr>
              <w:t>Client portal</w:t>
            </w:r>
          </w:p>
        </w:tc>
        <w:tc>
          <w:tcPr>
            <w:tcW w:type="dxa" w:w="1411"/>
          </w:tcPr>
          <w:p>
            <w:pPr>
              <w:spacing w:after="0"/>
            </w:pPr>
            <w:r>
              <w:rPr>
                <w:sz w:val="17"/>
              </w:rPr>
              <w:t>Critical</w:t>
            </w:r>
          </w:p>
        </w:tc>
        <w:tc>
          <w:tcPr>
            <w:tcW w:type="dxa" w:w="1613"/>
          </w:tcPr>
          <w:p>
            <w:pPr>
              <w:spacing w:after="0"/>
            </w:pPr>
            <w:r>
              <w:rPr>
                <w:sz w:val="17"/>
              </w:rPr>
              <w:t>2026-05</w:t>
            </w:r>
          </w:p>
        </w:tc>
        <w:tc>
          <w:tcPr>
            <w:tcW w:type="dxa" w:w="2016"/>
          </w:tcPr>
          <w:p>
            <w:pPr>
              <w:spacing w:after="0"/>
            </w:pPr>
            <w:r>
              <w:rPr>
                <w:sz w:val="17"/>
              </w:rPr>
              <w:t>One finding closed 2026-06</w:t>
            </w:r>
          </w:p>
        </w:tc>
      </w:tr>
      <w:tr>
        <w:tc>
          <w:tcPr>
            <w:tcW w:type="dxa" w:w="2419"/>
          </w:tcPr>
          <w:p>
            <w:pPr>
              <w:spacing w:after="0"/>
            </w:pPr>
            <w:r>
              <w:rPr>
                <w:sz w:val="17"/>
              </w:rPr>
              <w:t>SkyKeep Backup</w:t>
            </w:r>
          </w:p>
        </w:tc>
        <w:tc>
          <w:tcPr>
            <w:tcW w:type="dxa" w:w="2621"/>
          </w:tcPr>
          <w:p>
            <w:pPr>
              <w:spacing w:after="0"/>
            </w:pPr>
            <w:r>
              <w:rPr>
                <w:sz w:val="17"/>
              </w:rPr>
              <w:t>Cloud backup</w:t>
            </w:r>
          </w:p>
        </w:tc>
        <w:tc>
          <w:tcPr>
            <w:tcW w:type="dxa" w:w="1411"/>
          </w:tcPr>
          <w:p>
            <w:pPr>
              <w:spacing w:after="0"/>
            </w:pPr>
            <w:r>
              <w:rPr>
                <w:sz w:val="17"/>
              </w:rPr>
              <w:t>Critical</w:t>
            </w:r>
          </w:p>
        </w:tc>
        <w:tc>
          <w:tcPr>
            <w:tcW w:type="dxa" w:w="1613"/>
          </w:tcPr>
          <w:p>
            <w:pPr>
              <w:spacing w:after="0"/>
            </w:pPr>
            <w:r>
              <w:rPr>
                <w:sz w:val="17"/>
              </w:rPr>
              <w:t>2026-06</w:t>
            </w:r>
          </w:p>
        </w:tc>
        <w:tc>
          <w:tcPr>
            <w:tcW w:type="dxa" w:w="2016"/>
          </w:tcPr>
          <w:p>
            <w:pPr>
              <w:spacing w:after="0"/>
            </w:pPr>
            <w:r>
              <w:rPr>
                <w:sz w:val="17"/>
              </w:rPr>
              <w:t>No open findings</w:t>
            </w:r>
          </w:p>
        </w:tc>
      </w:tr>
      <w:tr>
        <w:tc>
          <w:tcPr>
            <w:tcW w:type="dxa" w:w="2419"/>
          </w:tcPr>
          <w:p>
            <w:pPr>
              <w:spacing w:after="0"/>
            </w:pPr>
            <w:r>
              <w:rPr>
                <w:sz w:val="17"/>
              </w:rPr>
              <w:t>ShredRight Services</w:t>
            </w:r>
          </w:p>
        </w:tc>
        <w:tc>
          <w:tcPr>
            <w:tcW w:type="dxa" w:w="2621"/>
          </w:tcPr>
          <w:p>
            <w:pPr>
              <w:spacing w:after="0"/>
            </w:pPr>
            <w:r>
              <w:rPr>
                <w:sz w:val="17"/>
              </w:rPr>
              <w:t>Paper destruction</w:t>
            </w:r>
          </w:p>
        </w:tc>
        <w:tc>
          <w:tcPr>
            <w:tcW w:type="dxa" w:w="1411"/>
          </w:tcPr>
          <w:p>
            <w:pPr>
              <w:spacing w:after="0"/>
            </w:pPr>
            <w:r>
              <w:rPr>
                <w:sz w:val="17"/>
              </w:rPr>
              <w:t>Important</w:t>
            </w:r>
          </w:p>
        </w:tc>
        <w:tc>
          <w:tcPr>
            <w:tcW w:type="dxa" w:w="1613"/>
          </w:tcPr>
          <w:p>
            <w:pPr>
              <w:spacing w:after="0"/>
            </w:pPr>
            <w:r>
              <w:rPr>
                <w:sz w:val="17"/>
              </w:rPr>
              <w:t>2026-07</w:t>
            </w:r>
          </w:p>
        </w:tc>
        <w:tc>
          <w:tcPr>
            <w:tcW w:type="dxa" w:w="2016"/>
          </w:tcPr>
          <w:p>
            <w:pPr>
              <w:spacing w:after="0"/>
            </w:pPr>
            <w:r>
              <w:rPr>
                <w:sz w:val="17"/>
              </w:rPr>
              <w:t>Certificates current</w:t>
            </w:r>
          </w:p>
        </w:tc>
      </w:tr>
      <w:tr>
        <w:tc>
          <w:tcPr>
            <w:tcW w:type="dxa" w:w="2419"/>
          </w:tcPr>
          <w:p>
            <w:pPr>
              <w:spacing w:after="0"/>
            </w:pPr>
            <w:r>
              <w:rPr>
                <w:sz w:val="17"/>
              </w:rPr>
              <w:t>NorthPoint IT</w:t>
            </w:r>
          </w:p>
        </w:tc>
        <w:tc>
          <w:tcPr>
            <w:tcW w:type="dxa" w:w="2621"/>
          </w:tcPr>
          <w:p>
            <w:pPr>
              <w:spacing w:after="0"/>
            </w:pPr>
            <w:r>
              <w:rPr>
                <w:sz w:val="17"/>
              </w:rPr>
              <w:t>Managed IT support</w:t>
            </w:r>
          </w:p>
        </w:tc>
        <w:tc>
          <w:tcPr>
            <w:tcW w:type="dxa" w:w="1411"/>
          </w:tcPr>
          <w:p>
            <w:pPr>
              <w:spacing w:after="0"/>
            </w:pPr>
            <w:r>
              <w:rPr>
                <w:sz w:val="17"/>
              </w:rPr>
              <w:t>Critical</w:t>
            </w:r>
          </w:p>
        </w:tc>
        <w:tc>
          <w:tcPr>
            <w:tcW w:type="dxa" w:w="1613"/>
          </w:tcPr>
          <w:p>
            <w:pPr>
              <w:spacing w:after="0"/>
            </w:pPr>
            <w:r>
              <w:rPr>
                <w:sz w:val="17"/>
              </w:rPr>
              <w:t>2026-04</w:t>
            </w:r>
          </w:p>
        </w:tc>
        <w:tc>
          <w:tcPr>
            <w:tcW w:type="dxa" w:w="2016"/>
          </w:tcPr>
          <w:p>
            <w:pPr>
              <w:spacing w:after="0"/>
            </w:pPr>
            <w:r>
              <w:rPr>
                <w:sz w:val="17"/>
              </w:rPr>
              <w:t>Contract clauses updated</w:t>
            </w:r>
          </w:p>
        </w:tc>
      </w:tr>
    </w:tbl>
    <w:p>
      <w:pPr>
        <w:spacing w:after="40"/>
      </w:pPr>
    </w:p>
    <w:p>
      <w:r>
        <w:br w:type="page"/>
      </w:r>
    </w:p>
    <w:p>
      <w:pPr>
        <w:pStyle w:val="Heading1"/>
      </w:pPr>
      <w:r>
        <w:t>Appendix F.001 - Control evidence checklist item: Annual risk assessment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Annual risk assessment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314.4(b)</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Main office file server</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(January)</w:t>
            </w:r>
          </w:p>
        </w:tc>
      </w:tr>
      <w:tr>
        <w:tc>
          <w:tcPr>
            <w:tcW w:type="dxa" w:w="3024"/>
            <w:shd w:val="clear" w:color="auto" w:fill="F0F3F7"/>
          </w:tcPr>
          <w:p>
            <w:pPr>
              <w:spacing w:after="0"/>
            </w:pPr>
            <w:r>
              <w:rPr>
                <w:b/>
                <w:sz w:val="17"/>
              </w:rPr>
              <w:t>Review period</w:t>
            </w:r>
          </w:p>
        </w:tc>
        <w:tc>
          <w:tcPr>
            <w:tcW w:type="dxa" w:w="7056"/>
          </w:tcPr>
          <w:p>
            <w:pPr>
              <w:spacing w:after="0"/>
            </w:pPr>
            <w:r>
              <w:rPr>
                <w:sz w:val="17"/>
              </w:rPr>
              <w:t>2025-10</w:t>
            </w:r>
          </w:p>
        </w:tc>
      </w:tr>
      <w:tr>
        <w:tc>
          <w:tcPr>
            <w:tcW w:type="dxa" w:w="3024"/>
            <w:shd w:val="clear" w:color="auto" w:fill="F0F3F7"/>
          </w:tcPr>
          <w:p>
            <w:pPr>
              <w:spacing w:after="0"/>
            </w:pPr>
            <w:r>
              <w:rPr>
                <w:b/>
                <w:sz w:val="17"/>
              </w:rPr>
              <w:t>Evidence required</w:t>
            </w:r>
          </w:p>
        </w:tc>
        <w:tc>
          <w:tcPr>
            <w:tcW w:type="dxa" w:w="7056"/>
          </w:tcPr>
          <w:p>
            <w:pPr>
              <w:spacing w:after="0"/>
            </w:pPr>
            <w:r>
              <w:rPr>
                <w:sz w:val="17"/>
              </w:rPr>
              <w:t>Signed risk register, scoring worksheets, partner review minutes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2025-10, the Security Lead performed the annual risk assessment control for the main office file server in accordance with the Cedar Hollow WISP. The control owner gathered the required evidence, compared it against the documented procedure and frequency (annually (january)),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Signed risk register saved to the evidence folder for 2025-10.</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main office file server are reported to the Managing Partners within 30 days, and any related security event is handled under the incident response SOP in Section 11. Closure requires retest evidence.</w:t>
      </w:r>
    </w:p>
    <w:p>
      <w:r>
        <w:t>Sign-off: Security Lead (performed) and Security Lead (reviewed). Record ID CHT-EV-0001. This record is part of a synthetic test fixture for a fictional company.</w:t>
      </w:r>
    </w:p>
    <w:p>
      <w:r>
        <w:br w:type="page"/>
      </w:r>
    </w:p>
    <w:p>
      <w:pPr>
        <w:pStyle w:val="Heading1"/>
      </w:pPr>
      <w:r>
        <w:t>Appendix F.002 - Control evidence checklist item: Quarterly access review</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Quarterly access review</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314.4(c)(1)</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Seasonal satellite office</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2026-05</w:t>
            </w:r>
          </w:p>
        </w:tc>
      </w:tr>
      <w:tr>
        <w:tc>
          <w:tcPr>
            <w:tcW w:type="dxa" w:w="3024"/>
            <w:shd w:val="clear" w:color="auto" w:fill="F0F3F7"/>
          </w:tcPr>
          <w:p>
            <w:pPr>
              <w:spacing w:after="0"/>
            </w:pPr>
            <w:r>
              <w:rPr>
                <w:b/>
                <w:sz w:val="17"/>
              </w:rPr>
              <w:t>Evidence required</w:t>
            </w:r>
          </w:p>
        </w:tc>
        <w:tc>
          <w:tcPr>
            <w:tcW w:type="dxa" w:w="7056"/>
          </w:tcPr>
          <w:p>
            <w:pPr>
              <w:spacing w:after="0"/>
            </w:pPr>
            <w:r>
              <w:rPr>
                <w:sz w:val="17"/>
              </w:rPr>
              <w:t>Account attestation per system, removal tickets, reviewer sign-off</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2026-05, the Security Lead performed the quarterly access review control for the seasonal satellite office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Account attestation per system saved to the evidence folder for 2026-05.</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seasonal satellite office are reported to the Managing Partners within 30 days, and any related security event is handled under the incident response SOP in Section 11. Closure requires retest evidence.</w:t>
      </w:r>
    </w:p>
    <w:p>
      <w:r>
        <w:t>Sign-off: Security Lead (performed) and Security Lead (reviewed). Record ID CHT-EV-0002. This record is part of a synthetic test fixture for a fictional company.</w:t>
      </w:r>
    </w:p>
    <w:p>
      <w:r>
        <w:br w:type="page"/>
      </w:r>
    </w:p>
    <w:p>
      <w:pPr>
        <w:pStyle w:val="Heading1"/>
      </w:pPr>
      <w:r>
        <w:t>Appendix F.003 - Control evidence checklist item: Data and system inventory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Data and system inventory</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314.4(c)(2)</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Records storage vendor</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and on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2025-12</w:t>
            </w:r>
          </w:p>
        </w:tc>
      </w:tr>
      <w:tr>
        <w:tc>
          <w:tcPr>
            <w:tcW w:type="dxa" w:w="3024"/>
            <w:shd w:val="clear" w:color="auto" w:fill="F0F3F7"/>
          </w:tcPr>
          <w:p>
            <w:pPr>
              <w:spacing w:after="0"/>
            </w:pPr>
            <w:r>
              <w:rPr>
                <w:b/>
                <w:sz w:val="17"/>
              </w:rPr>
              <w:t>Evidence required</w:t>
            </w:r>
          </w:p>
        </w:tc>
        <w:tc>
          <w:tcPr>
            <w:tcW w:type="dxa" w:w="7056"/>
          </w:tcPr>
          <w:p>
            <w:pPr>
              <w:spacing w:after="0"/>
            </w:pPr>
            <w:r>
              <w:rPr>
                <w:sz w:val="17"/>
              </w:rPr>
              <w:t>Inventory export with verification dates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2025-12, the Security Lead performed the data and system inventory control for the records storage vendor in accordance with the Cedar Hollow WISP. The control owner gathered the required evidence, compared it against the documented procedure and frequency (annually and on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Inventory export with verification dates saved to the evidence folder for 2025-12.</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records storage vendor are reported to the Managing Partners within 30 days, and any related security event is handled under the incident response SOP in Section 11. Closure requires retest evidence.</w:t>
      </w:r>
    </w:p>
    <w:p>
      <w:r>
        <w:t>Sign-off: Security Lead (performed) and Security Lead (reviewed). Record ID CHT-EV-0003. This record is part of a synthetic test fixture for a fictional company.</w:t>
      </w:r>
    </w:p>
    <w:p>
      <w:r>
        <w:br w:type="page"/>
      </w:r>
    </w:p>
    <w:p>
      <w:pPr>
        <w:pStyle w:val="Heading1"/>
      </w:pPr>
      <w:r>
        <w:t>Appendix F.004 - Control evidence checklist item: Encryption at rest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Encryption at rest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314.4(c)(3)</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Business email tenant</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 verification</w:t>
            </w:r>
          </w:p>
        </w:tc>
      </w:tr>
      <w:tr>
        <w:tc>
          <w:tcPr>
            <w:tcW w:type="dxa" w:w="3024"/>
            <w:shd w:val="clear" w:color="auto" w:fill="F0F3F7"/>
          </w:tcPr>
          <w:p>
            <w:pPr>
              <w:spacing w:after="0"/>
            </w:pPr>
            <w:r>
              <w:rPr>
                <w:b/>
                <w:sz w:val="17"/>
              </w:rPr>
              <w:t>Review period</w:t>
            </w:r>
          </w:p>
        </w:tc>
        <w:tc>
          <w:tcPr>
            <w:tcW w:type="dxa" w:w="7056"/>
          </w:tcPr>
          <w:p>
            <w:pPr>
              <w:spacing w:after="0"/>
            </w:pPr>
            <w:r>
              <w:rPr>
                <w:sz w:val="17"/>
              </w:rPr>
              <w:t>2026-07</w:t>
            </w:r>
          </w:p>
        </w:tc>
      </w:tr>
      <w:tr>
        <w:tc>
          <w:tcPr>
            <w:tcW w:type="dxa" w:w="3024"/>
            <w:shd w:val="clear" w:color="auto" w:fill="F0F3F7"/>
          </w:tcPr>
          <w:p>
            <w:pPr>
              <w:spacing w:after="0"/>
            </w:pPr>
            <w:r>
              <w:rPr>
                <w:b/>
                <w:sz w:val="17"/>
              </w:rPr>
              <w:t>Evidence required</w:t>
            </w:r>
          </w:p>
        </w:tc>
        <w:tc>
          <w:tcPr>
            <w:tcW w:type="dxa" w:w="7056"/>
          </w:tcPr>
          <w:p>
            <w:pPr>
              <w:spacing w:after="0"/>
            </w:pPr>
            <w:r>
              <w:rPr>
                <w:sz w:val="17"/>
              </w:rPr>
              <w:t>Device console encryption report, exception register</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2026-07, the IT Administrator performed the encryption at rest control for the business email tenant in accordance with the Cedar Hollow WISP. The control owner gathered the required evidence, compared it against the documented procedure and frequency (monthly verification),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Device console encryption report saved to the evidence folder for 2026-07.</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business email tenant are reported to the Managing Partners within 30 days, and any related security event is handled under the incident response SOP in Section 11. Closure requires retest evidence.</w:t>
      </w:r>
    </w:p>
    <w:p>
      <w:r>
        <w:t>Sign-off: IT Administrator (performed) and Security Lead (reviewed). Record ID CHT-EV-0004. This record is part of a synthetic test fixture for a fictional company.</w:t>
      </w:r>
    </w:p>
    <w:p>
      <w:r>
        <w:br w:type="page"/>
      </w:r>
    </w:p>
    <w:p>
      <w:pPr>
        <w:pStyle w:val="Heading1"/>
      </w:pPr>
      <w:r>
        <w:t>Appendix F.005 - Control evidence checklist item: Encryption in transit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Encryption in transit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314.4(c)(3)</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Scanner and multifunction printers</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2026-02</w:t>
            </w:r>
          </w:p>
        </w:tc>
      </w:tr>
      <w:tr>
        <w:tc>
          <w:tcPr>
            <w:tcW w:type="dxa" w:w="3024"/>
            <w:shd w:val="clear" w:color="auto" w:fill="F0F3F7"/>
          </w:tcPr>
          <w:p>
            <w:pPr>
              <w:spacing w:after="0"/>
            </w:pPr>
            <w:r>
              <w:rPr>
                <w:b/>
                <w:sz w:val="17"/>
              </w:rPr>
              <w:t>Evidence required</w:t>
            </w:r>
          </w:p>
        </w:tc>
        <w:tc>
          <w:tcPr>
            <w:tcW w:type="dxa" w:w="7056"/>
          </w:tcPr>
          <w:p>
            <w:pPr>
              <w:spacing w:after="0"/>
            </w:pPr>
            <w:r>
              <w:rPr>
                <w:sz w:val="17"/>
              </w:rPr>
              <w:t>TLS configuration scan, portal and email settings capture</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2026-02, the IT Administrator performed the encryption in transit control for the scanner and multifunction printers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TLS configuration scan saved to the evidence folder for 2026-02.</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scanner and multifunction printers are reported to the Managing Partners within 30 days, and any related security event is handled under the incident response SOP in Section 11. Closure requires retest evidence.</w:t>
      </w:r>
    </w:p>
    <w:p>
      <w:r>
        <w:t>Sign-off: IT Administrator (performed) and Security Lead (reviewed). Record ID CHT-EV-0005. This record is part of a synthetic test fixture for a fictional company.</w:t>
      </w:r>
    </w:p>
    <w:p>
      <w:r>
        <w:br w:type="page"/>
      </w:r>
    </w:p>
    <w:p>
      <w:pPr>
        <w:pStyle w:val="Heading1"/>
      </w:pPr>
      <w:r>
        <w:t>Appendix F.006 - Control evidence checklist item: Secure development and configuration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Secure development and configuration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314.4(c)(4)</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Client portal (PortalVault,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On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2026-09</w:t>
            </w:r>
          </w:p>
        </w:tc>
      </w:tr>
      <w:tr>
        <w:tc>
          <w:tcPr>
            <w:tcW w:type="dxa" w:w="3024"/>
            <w:shd w:val="clear" w:color="auto" w:fill="F0F3F7"/>
          </w:tcPr>
          <w:p>
            <w:pPr>
              <w:spacing w:after="0"/>
            </w:pPr>
            <w:r>
              <w:rPr>
                <w:b/>
                <w:sz w:val="17"/>
              </w:rPr>
              <w:t>Evidence required</w:t>
            </w:r>
          </w:p>
        </w:tc>
        <w:tc>
          <w:tcPr>
            <w:tcW w:type="dxa" w:w="7056"/>
          </w:tcPr>
          <w:p>
            <w:pPr>
              <w:spacing w:after="0"/>
            </w:pPr>
            <w:r>
              <w:rPr>
                <w:sz w:val="17"/>
              </w:rPr>
              <w:t>Baseline configuration records and deviation log</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2026-09, the IT Administrator performed the secure development and configuration control for the client portal (portalvault, fictional) in accordance with the Cedar Hollow WISP. The control owner gathered the required evidence, compared it against the documented procedure and frequency (on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Baseline configuration records and deviation log saved to the evidence folder for 2026-09.</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client portal (portalvault,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CHT-EV-0006. This record is part of a synthetic test fixture for a fictional company.</w:t>
      </w:r>
    </w:p>
    <w:p>
      <w:r>
        <w:br w:type="page"/>
      </w:r>
    </w:p>
    <w:p>
      <w:pPr>
        <w:pStyle w:val="Heading1"/>
      </w:pPr>
      <w:r>
        <w:t>Appendix F.007 - Control evidence checklist item: Multi-factor authentication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Multi-factor authentication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314.4(c)(5)</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Cloud backup (SkyKeep,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2026-04</w:t>
            </w:r>
          </w:p>
        </w:tc>
      </w:tr>
      <w:tr>
        <w:tc>
          <w:tcPr>
            <w:tcW w:type="dxa" w:w="3024"/>
            <w:shd w:val="clear" w:color="auto" w:fill="F0F3F7"/>
          </w:tcPr>
          <w:p>
            <w:pPr>
              <w:spacing w:after="0"/>
            </w:pPr>
            <w:r>
              <w:rPr>
                <w:b/>
                <w:sz w:val="17"/>
              </w:rPr>
              <w:t>Evidence required</w:t>
            </w:r>
          </w:p>
        </w:tc>
        <w:tc>
          <w:tcPr>
            <w:tcW w:type="dxa" w:w="7056"/>
          </w:tcPr>
          <w:p>
            <w:pPr>
              <w:spacing w:after="0"/>
            </w:pPr>
            <w:r>
              <w:rPr>
                <w:sz w:val="17"/>
              </w:rPr>
              <w:t>MFA enrollment report for all accounts with customer information access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2026-04, the IT Administrator performed the multi-factor authentication control for the cloud backup (skykeep, fictional) in accordance with the Cedar Hollow WISP. The control owner gathered the required evidence, compared it against the documented procedure and frequency (monthly),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MFA enrollment report for all accounts with customer information access saved to the evidence folder for 2026-04.</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cloud backup (skykeep,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CHT-EV-0007. This record is part of a synthetic test fixture for a fictional company.</w:t>
      </w:r>
    </w:p>
    <w:p>
      <w:r>
        <w:br w:type="page"/>
      </w:r>
    </w:p>
    <w:p>
      <w:pPr>
        <w:pStyle w:val="Heading1"/>
      </w:pPr>
      <w:r>
        <w:t>Appendix F.008 - Control evidence checklist item: Secure disposal of customer information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Secure disposal of customer information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314.4(c)(6)</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Managed IT support provider (NorthPoint,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Records Manager</w:t>
            </w:r>
          </w:p>
        </w:tc>
      </w:tr>
      <w:tr>
        <w:tc>
          <w:tcPr>
            <w:tcW w:type="dxa" w:w="3024"/>
            <w:shd w:val="clear" w:color="auto" w:fill="F0F3F7"/>
          </w:tcPr>
          <w:p>
            <w:pPr>
              <w:spacing w:after="0"/>
            </w:pPr>
            <w:r>
              <w:rPr>
                <w:b/>
                <w:sz w:val="17"/>
              </w:rPr>
              <w:t>Frequency</w:t>
            </w:r>
          </w:p>
        </w:tc>
        <w:tc>
          <w:tcPr>
            <w:tcW w:type="dxa" w:w="7056"/>
          </w:tcPr>
          <w:p>
            <w:pPr>
              <w:spacing w:after="0"/>
            </w:pPr>
            <w:r>
              <w:rPr>
                <w:sz w:val="17"/>
              </w:rPr>
              <w:t>Per retention schedule</w:t>
            </w:r>
          </w:p>
        </w:tc>
      </w:tr>
      <w:tr>
        <w:tc>
          <w:tcPr>
            <w:tcW w:type="dxa" w:w="3024"/>
            <w:shd w:val="clear" w:color="auto" w:fill="F0F3F7"/>
          </w:tcPr>
          <w:p>
            <w:pPr>
              <w:spacing w:after="0"/>
            </w:pPr>
            <w:r>
              <w:rPr>
                <w:b/>
                <w:sz w:val="17"/>
              </w:rPr>
              <w:t>Review period</w:t>
            </w:r>
          </w:p>
        </w:tc>
        <w:tc>
          <w:tcPr>
            <w:tcW w:type="dxa" w:w="7056"/>
          </w:tcPr>
          <w:p>
            <w:pPr>
              <w:spacing w:after="0"/>
            </w:pPr>
            <w:r>
              <w:rPr>
                <w:sz w:val="17"/>
              </w:rPr>
              <w:t>2025-11</w:t>
            </w:r>
          </w:p>
        </w:tc>
      </w:tr>
      <w:tr>
        <w:tc>
          <w:tcPr>
            <w:tcW w:type="dxa" w:w="3024"/>
            <w:shd w:val="clear" w:color="auto" w:fill="F0F3F7"/>
          </w:tcPr>
          <w:p>
            <w:pPr>
              <w:spacing w:after="0"/>
            </w:pPr>
            <w:r>
              <w:rPr>
                <w:b/>
                <w:sz w:val="17"/>
              </w:rPr>
              <w:t>Evidence required</w:t>
            </w:r>
          </w:p>
        </w:tc>
        <w:tc>
          <w:tcPr>
            <w:tcW w:type="dxa" w:w="7056"/>
          </w:tcPr>
          <w:p>
            <w:pPr>
              <w:spacing w:after="0"/>
            </w:pPr>
            <w:r>
              <w:rPr>
                <w:sz w:val="17"/>
              </w:rPr>
              <w:t>Disposal log, vendor certificates of destruction</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2025-11, the Records Manager performed the secure disposal of customer information control for the managed it support provider (northpoint, fictional) in accordance with the Cedar Hollow WISP. The control owner gathered the required evidence, compared it against the documented procedure and frequency (per retention schedule),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Disposal log saved to the evidence folder for 2025-11.</w:t>
      </w:r>
    </w:p>
    <w:p>
      <w:pPr>
        <w:pStyle w:val="ListBullet"/>
        <w:spacing w:after="20"/>
      </w:pPr>
      <w:r>
        <w:t>Evidence item 2: owner sign-off by the Records Manager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w:t>
      </w:r>
    </w:p>
    <w:p>
      <w:pPr>
        <w:pStyle w:val="Heading2"/>
      </w:pPr>
      <w:r>
        <w:t>Follow-up and escalation</w:t>
      </w:r>
    </w:p>
    <w:p>
      <w:r>
        <w:t>If this control fails or evidence is missing, the Records Manager opens a remediation item within five business days, rates the gap using the scoring matrix in Section 4.2, and notifies the Security Lead. High or critical gaps affecting the managed it support provider (northpoint, fictional) are reported to the Managing Partners within 30 days, and any related security event is handled under the incident response SOP in Section 11. Closure requires retest evidence.</w:t>
      </w:r>
    </w:p>
    <w:p>
      <w:r>
        <w:t>Sign-off: Records Manager (performed) and Security Lead (reviewed). Record ID CHT-EV-0008. This record is part of a synthetic test fixture for a fictional company.</w:t>
      </w:r>
    </w:p>
    <w:p>
      <w:r>
        <w:br w:type="page"/>
      </w:r>
    </w:p>
    <w:p>
      <w:pPr>
        <w:pStyle w:val="Heading1"/>
      </w:pPr>
      <w:r>
        <w:t>Appendix F.009 - Control evidence checklist item: Change management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Change management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314.4(c)(7)</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Managed laptops - preparer pool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On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2026-06</w:t>
            </w:r>
          </w:p>
        </w:tc>
      </w:tr>
      <w:tr>
        <w:tc>
          <w:tcPr>
            <w:tcW w:type="dxa" w:w="3024"/>
            <w:shd w:val="clear" w:color="auto" w:fill="F0F3F7"/>
          </w:tcPr>
          <w:p>
            <w:pPr>
              <w:spacing w:after="0"/>
            </w:pPr>
            <w:r>
              <w:rPr>
                <w:b/>
                <w:sz w:val="17"/>
              </w:rPr>
              <w:t>Evidence required</w:t>
            </w:r>
          </w:p>
        </w:tc>
        <w:tc>
          <w:tcPr>
            <w:tcW w:type="dxa" w:w="7056"/>
          </w:tcPr>
          <w:p>
            <w:pPr>
              <w:spacing w:after="0"/>
            </w:pPr>
            <w:r>
              <w:rPr>
                <w:sz w:val="17"/>
              </w:rPr>
              <w:t>Change tickets with approval, test, and verification notes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2026-06, the IT Administrator performed the change management control for the managed laptops - preparer pool in accordance with the Cedar Hollow WISP. The control owner gathered the required evidence, compared it against the documented procedure and frequency (on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Change tickets with approval saved to the evidence folder for 2026-06.</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managed laptops - preparer pool are reported to the Managing Partners within 30 days, and any related security event is handled under the incident response SOP in Section 11. Closure requires retest evidence.</w:t>
      </w:r>
    </w:p>
    <w:p>
      <w:r>
        <w:t>Sign-off: IT Administrator (performed) and Security Lead (reviewed). Record ID CHT-EV-0009. This record is part of a synthetic test fixture for a fictional company.</w:t>
      </w:r>
    </w:p>
    <w:p>
      <w:r>
        <w:br w:type="page"/>
      </w:r>
    </w:p>
    <w:p>
      <w:pPr>
        <w:pStyle w:val="Heading1"/>
      </w:pPr>
      <w:r>
        <w:t>Appendix F.010 - Control evidence checklist item: Activity monitoring and logging</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Activity monitoring and logging</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314.4(c)(8)</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Remote access gateway</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Daily in season / weekly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2026-01</w:t>
            </w:r>
          </w:p>
        </w:tc>
      </w:tr>
      <w:tr>
        <w:tc>
          <w:tcPr>
            <w:tcW w:type="dxa" w:w="3024"/>
            <w:shd w:val="clear" w:color="auto" w:fill="F0F3F7"/>
          </w:tcPr>
          <w:p>
            <w:pPr>
              <w:spacing w:after="0"/>
            </w:pPr>
            <w:r>
              <w:rPr>
                <w:b/>
                <w:sz w:val="17"/>
              </w:rPr>
              <w:t>Evidence required</w:t>
            </w:r>
          </w:p>
        </w:tc>
        <w:tc>
          <w:tcPr>
            <w:tcW w:type="dxa" w:w="7056"/>
          </w:tcPr>
          <w:p>
            <w:pPr>
              <w:spacing w:after="0"/>
            </w:pPr>
            <w:r>
              <w:rPr>
                <w:sz w:val="17"/>
              </w:rPr>
              <w:t>Alert review log, log retention configuration</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2026-01, the IT Administrator performed the activity monitoring and logging control for the remote access gateway in accordance with the Cedar Hollow WISP. The control owner gathered the required evidence, compared it against the documented procedure and frequency (daily in season / weekly),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Alert review log saved to the evidence folder for 2026-01.</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remote access gateway are reported to the Managing Partners within 30 days, and any related security event is handled under the incident response SOP in Section 11. Closure requires retest evidence.</w:t>
      </w:r>
    </w:p>
    <w:p>
      <w:r>
        <w:t>Sign-off: IT Administrator (performed) and Security Lead (reviewed). Record ID CHT-EV-0010. This record is part of a synthetic test fixture for a fictional company.</w:t>
      </w:r>
    </w:p>
    <w:p>
      <w:r>
        <w:br w:type="page"/>
      </w:r>
    </w:p>
    <w:p>
      <w:pPr>
        <w:pStyle w:val="Heading1"/>
      </w:pPr>
      <w:r>
        <w:t>Appendix F.011 - Control evidence checklist item: Penetration testing</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Penetration testing</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314.4(d)(2)</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Tax platform (LedgerLine Tax,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2026-08</w:t>
            </w:r>
          </w:p>
        </w:tc>
      </w:tr>
      <w:tr>
        <w:tc>
          <w:tcPr>
            <w:tcW w:type="dxa" w:w="3024"/>
            <w:shd w:val="clear" w:color="auto" w:fill="F0F3F7"/>
          </w:tcPr>
          <w:p>
            <w:pPr>
              <w:spacing w:after="0"/>
            </w:pPr>
            <w:r>
              <w:rPr>
                <w:b/>
                <w:sz w:val="17"/>
              </w:rPr>
              <w:t>Evidence required</w:t>
            </w:r>
          </w:p>
        </w:tc>
        <w:tc>
          <w:tcPr>
            <w:tcW w:type="dxa" w:w="7056"/>
          </w:tcPr>
          <w:p>
            <w:pPr>
              <w:spacing w:after="0"/>
            </w:pPr>
            <w:r>
              <w:rPr>
                <w:sz w:val="17"/>
              </w:rPr>
              <w:t>Independent test report, remediation tracker, retest letter</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2026-08, the Security Lead performed the penetration testing control for the tax platform (ledgerline tax, fictional) in accordance with the Cedar Hollow WISP. The control owner gathered the required evidence, compared it against the documented procedure and frequency (annually),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Independent test report saved to the evidence folder for 2026-08.</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tax platform (ledgerline tax, fictional) are reported to the Managing Partners within 30 days, and any related security event is handled under the incident response SOP in Section 11. Closure requires retest evidence.</w:t>
      </w:r>
    </w:p>
    <w:p>
      <w:r>
        <w:t>Sign-off: Security Lead (performed) and Security Lead (reviewed). Record ID CHT-EV-0011. This record is part of a synthetic test fixture for a fictional company.</w:t>
      </w:r>
    </w:p>
    <w:p>
      <w:r>
        <w:br w:type="page"/>
      </w:r>
    </w:p>
    <w:p>
      <w:pPr>
        <w:pStyle w:val="Heading1"/>
      </w:pPr>
      <w:r>
        <w:t>Appendix F.012 - Control evidence checklist item: Vulnerability scanning</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Vulnerability scanning</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314.4(d)(2)</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Paper file room</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2026-03</w:t>
            </w:r>
          </w:p>
        </w:tc>
      </w:tr>
      <w:tr>
        <w:tc>
          <w:tcPr>
            <w:tcW w:type="dxa" w:w="3024"/>
            <w:shd w:val="clear" w:color="auto" w:fill="F0F3F7"/>
          </w:tcPr>
          <w:p>
            <w:pPr>
              <w:spacing w:after="0"/>
            </w:pPr>
            <w:r>
              <w:rPr>
                <w:b/>
                <w:sz w:val="17"/>
              </w:rPr>
              <w:t>Evidence required</w:t>
            </w:r>
          </w:p>
        </w:tc>
        <w:tc>
          <w:tcPr>
            <w:tcW w:type="dxa" w:w="7056"/>
          </w:tcPr>
          <w:p>
            <w:pPr>
              <w:spacing w:after="0"/>
            </w:pPr>
            <w:r>
              <w:rPr>
                <w:sz w:val="17"/>
              </w:rPr>
              <w:t>Scan reports and closure evidence</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2026-03, the IT Administrator performed the vulnerability scanning control for the paper file room in accordance with the Cedar Hollow WISP. The control owner gathered the required evidence, compared it against the documented procedure and frequency (monthly),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Scan reports and closure evidence saved to the evidence folder for 2026-03.</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paper file room are reported to the Managing Partners within 30 days, and any related security event is handled under the incident response SOP in Section 11. Closure requires retest evidence.</w:t>
      </w:r>
    </w:p>
    <w:p>
      <w:r>
        <w:t>Sign-off: IT Administrator (performed) and Security Lead (reviewed). Record ID CHT-EV-0012. This record is part of a synthetic test fixture for a fictional company.</w:t>
      </w:r>
    </w:p>
    <w:p>
      <w:r>
        <w:br w:type="page"/>
      </w:r>
    </w:p>
    <w:p>
      <w:pPr>
        <w:pStyle w:val="Heading1"/>
      </w:pPr>
      <w:r>
        <w:t>Appendix F.013 - Control evidence checklist item: Security awareness training</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Security awareness training</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314.4(e)</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Main office file server</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At hire and annually</w:t>
            </w:r>
          </w:p>
        </w:tc>
      </w:tr>
      <w:tr>
        <w:tc>
          <w:tcPr>
            <w:tcW w:type="dxa" w:w="3024"/>
            <w:shd w:val="clear" w:color="auto" w:fill="F0F3F7"/>
          </w:tcPr>
          <w:p>
            <w:pPr>
              <w:spacing w:after="0"/>
            </w:pPr>
            <w:r>
              <w:rPr>
                <w:b/>
                <w:sz w:val="17"/>
              </w:rPr>
              <w:t>Review period</w:t>
            </w:r>
          </w:p>
        </w:tc>
        <w:tc>
          <w:tcPr>
            <w:tcW w:type="dxa" w:w="7056"/>
          </w:tcPr>
          <w:p>
            <w:pPr>
              <w:spacing w:after="0"/>
            </w:pPr>
            <w:r>
              <w:rPr>
                <w:sz w:val="17"/>
              </w:rPr>
              <w:t>2025-10</w:t>
            </w:r>
          </w:p>
        </w:tc>
      </w:tr>
      <w:tr>
        <w:tc>
          <w:tcPr>
            <w:tcW w:type="dxa" w:w="3024"/>
            <w:shd w:val="clear" w:color="auto" w:fill="F0F3F7"/>
          </w:tcPr>
          <w:p>
            <w:pPr>
              <w:spacing w:after="0"/>
            </w:pPr>
            <w:r>
              <w:rPr>
                <w:b/>
                <w:sz w:val="17"/>
              </w:rPr>
              <w:t>Evidence required</w:t>
            </w:r>
          </w:p>
        </w:tc>
        <w:tc>
          <w:tcPr>
            <w:tcW w:type="dxa" w:w="7056"/>
          </w:tcPr>
          <w:p>
            <w:pPr>
              <w:spacing w:after="0"/>
            </w:pPr>
            <w:r>
              <w:rPr>
                <w:sz w:val="17"/>
              </w:rPr>
              <w:t>Training completion log with dates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2025-10, the Security Lead performed the security awareness training control for the main office file server in accordance with the Cedar Hollow WISP. The control owner gathered the required evidence, compared it against the documented procedure and frequency (at hire and annually),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Training completion log with dates saved to the evidence folder for 2025-10.</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main office file server are reported to the Managing Partners within 30 days, and any related security event is handled under the incident response SOP in Section 11. Closure requires retest evidence.</w:t>
      </w:r>
    </w:p>
    <w:p>
      <w:r>
        <w:t>Sign-off: Security Lead (performed) and Security Lead (reviewed). Record ID CHT-EV-0013. This record is part of a synthetic test fixture for a fictional company.</w:t>
      </w:r>
    </w:p>
    <w:p>
      <w:r>
        <w:br w:type="page"/>
      </w:r>
    </w:p>
    <w:p>
      <w:pPr>
        <w:pStyle w:val="Heading1"/>
      </w:pPr>
      <w:r>
        <w:t>Appendix F.014 - Control evidence checklist item: Phishing exercises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Phishing exercises</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314.4(e)</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Seasonal satellite office</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2026-05</w:t>
            </w:r>
          </w:p>
        </w:tc>
      </w:tr>
      <w:tr>
        <w:tc>
          <w:tcPr>
            <w:tcW w:type="dxa" w:w="3024"/>
            <w:shd w:val="clear" w:color="auto" w:fill="F0F3F7"/>
          </w:tcPr>
          <w:p>
            <w:pPr>
              <w:spacing w:after="0"/>
            </w:pPr>
            <w:r>
              <w:rPr>
                <w:b/>
                <w:sz w:val="17"/>
              </w:rPr>
              <w:t>Evidence required</w:t>
            </w:r>
          </w:p>
        </w:tc>
        <w:tc>
          <w:tcPr>
            <w:tcW w:type="dxa" w:w="7056"/>
          </w:tcPr>
          <w:p>
            <w:pPr>
              <w:spacing w:after="0"/>
            </w:pPr>
            <w:r>
              <w:rPr>
                <w:sz w:val="17"/>
              </w:rPr>
              <w:t>Campaign results, coaching notes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2026-05, the Security Lead performed the phishing exercises control for the seasonal satellite office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Campaign results saved to the evidence folder for 2026-05.</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seasonal satellite office are reported to the Managing Partners within 30 days, and any related security event is handled under the incident response SOP in Section 11. Closure requires retest evidence.</w:t>
      </w:r>
    </w:p>
    <w:p>
      <w:r>
        <w:t>Sign-off: Security Lead (performed) and Security Lead (reviewed). Record ID CHT-EV-0014. This record is part of a synthetic test fixture for a fictional company.</w:t>
      </w:r>
    </w:p>
    <w:p>
      <w:r>
        <w:br w:type="page"/>
      </w:r>
    </w:p>
    <w:p>
      <w:pPr>
        <w:pStyle w:val="Heading1"/>
      </w:pPr>
      <w:r>
        <w:t>Appendix F.015 - Control evidence checklist item: Service provider oversight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Service provider oversight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314.4(f)</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Records storage vendor</w:t>
            </w:r>
          </w:p>
        </w:tc>
      </w:tr>
      <w:tr>
        <w:tc>
          <w:tcPr>
            <w:tcW w:type="dxa" w:w="3024"/>
            <w:shd w:val="clear" w:color="auto" w:fill="F0F3F7"/>
          </w:tcPr>
          <w:p>
            <w:pPr>
              <w:spacing w:after="0"/>
            </w:pPr>
            <w:r>
              <w:rPr>
                <w:b/>
                <w:sz w:val="17"/>
              </w:rPr>
              <w:t>Control owner</w:t>
            </w:r>
          </w:p>
        </w:tc>
        <w:tc>
          <w:tcPr>
            <w:tcW w:type="dxa" w:w="7056"/>
          </w:tcPr>
          <w:p>
            <w:pPr>
              <w:spacing w:after="0"/>
            </w:pPr>
            <w:r>
              <w:rPr>
                <w:sz w:val="17"/>
              </w:rPr>
              <w:t>Procurement</w:t>
            </w:r>
          </w:p>
        </w:tc>
      </w:tr>
      <w:tr>
        <w:tc>
          <w:tcPr>
            <w:tcW w:type="dxa" w:w="3024"/>
            <w:shd w:val="clear" w:color="auto" w:fill="F0F3F7"/>
          </w:tcPr>
          <w:p>
            <w:pPr>
              <w:spacing w:after="0"/>
            </w:pPr>
            <w:r>
              <w:rPr>
                <w:b/>
                <w:sz w:val="17"/>
              </w:rPr>
              <w:t>Frequency</w:t>
            </w:r>
          </w:p>
        </w:tc>
        <w:tc>
          <w:tcPr>
            <w:tcW w:type="dxa" w:w="7056"/>
          </w:tcPr>
          <w:p>
            <w:pPr>
              <w:spacing w:after="0"/>
            </w:pPr>
            <w:r>
              <w:rPr>
                <w:sz w:val="17"/>
              </w:rPr>
              <w:t>Before onboarding and annually</w:t>
            </w:r>
          </w:p>
        </w:tc>
      </w:tr>
      <w:tr>
        <w:tc>
          <w:tcPr>
            <w:tcW w:type="dxa" w:w="3024"/>
            <w:shd w:val="clear" w:color="auto" w:fill="F0F3F7"/>
          </w:tcPr>
          <w:p>
            <w:pPr>
              <w:spacing w:after="0"/>
            </w:pPr>
            <w:r>
              <w:rPr>
                <w:b/>
                <w:sz w:val="17"/>
              </w:rPr>
              <w:t>Review period</w:t>
            </w:r>
          </w:p>
        </w:tc>
        <w:tc>
          <w:tcPr>
            <w:tcW w:type="dxa" w:w="7056"/>
          </w:tcPr>
          <w:p>
            <w:pPr>
              <w:spacing w:after="0"/>
            </w:pPr>
            <w:r>
              <w:rPr>
                <w:sz w:val="17"/>
              </w:rPr>
              <w:t>2025-12</w:t>
            </w:r>
          </w:p>
        </w:tc>
      </w:tr>
      <w:tr>
        <w:tc>
          <w:tcPr>
            <w:tcW w:type="dxa" w:w="3024"/>
            <w:shd w:val="clear" w:color="auto" w:fill="F0F3F7"/>
          </w:tcPr>
          <w:p>
            <w:pPr>
              <w:spacing w:after="0"/>
            </w:pPr>
            <w:r>
              <w:rPr>
                <w:b/>
                <w:sz w:val="17"/>
              </w:rPr>
              <w:t>Evidence required</w:t>
            </w:r>
          </w:p>
        </w:tc>
        <w:tc>
          <w:tcPr>
            <w:tcW w:type="dxa" w:w="7056"/>
          </w:tcPr>
          <w:p>
            <w:pPr>
              <w:spacing w:after="0"/>
            </w:pPr>
            <w:r>
              <w:rPr>
                <w:sz w:val="17"/>
              </w:rPr>
              <w:t>Due diligence file, contract clauses, annual review record</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2025-12, the Procurement performed the service provider oversight control for the records storage vendor in accordance with the Cedar Hollow WISP. The control owner gathered the required evidence, compared it against the documented procedure and frequency (before onboarding and annually),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Due diligence file saved to the evidence folder for 2025-12.</w:t>
      </w:r>
    </w:p>
    <w:p>
      <w:pPr>
        <w:pStyle w:val="ListBullet"/>
        <w:spacing w:after="20"/>
      </w:pPr>
      <w:r>
        <w:t>Evidence item 2: owner sign-off by the Procurement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w:t>
      </w:r>
    </w:p>
    <w:p>
      <w:pPr>
        <w:pStyle w:val="Heading2"/>
      </w:pPr>
      <w:r>
        <w:t>Follow-up and escalation</w:t>
      </w:r>
    </w:p>
    <w:p>
      <w:r>
        <w:t>If this control fails or evidence is missing, the Procurement opens a remediation item within five business days, rates the gap using the scoring matrix in Section 4.2, and notifies the Security Lead. High or critical gaps affecting the records storage vendor are reported to the Managing Partners within 30 days, and any related security event is handled under the incident response SOP in Section 11. Closure requires retest evidence.</w:t>
      </w:r>
    </w:p>
    <w:p>
      <w:r>
        <w:t>Sign-off: Procurement (performed) and Security Lead (reviewed). Record ID CHT-EV-0015. This record is part of a synthetic test fixture for a fictional company.</w:t>
      </w:r>
    </w:p>
    <w:p>
      <w:r>
        <w:br w:type="page"/>
      </w:r>
    </w:p>
    <w:p>
      <w:pPr>
        <w:pStyle w:val="Heading1"/>
      </w:pPr>
      <w:r>
        <w:t>Appendix F.016 - Control evidence checklist item: WISP evaluation and adjustment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WISP evaluation and adjustment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314.4(g)</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Business email tenant</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and after material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2026-07</w:t>
            </w:r>
          </w:p>
        </w:tc>
      </w:tr>
      <w:tr>
        <w:tc>
          <w:tcPr>
            <w:tcW w:type="dxa" w:w="3024"/>
            <w:shd w:val="clear" w:color="auto" w:fill="F0F3F7"/>
          </w:tcPr>
          <w:p>
            <w:pPr>
              <w:spacing w:after="0"/>
            </w:pPr>
            <w:r>
              <w:rPr>
                <w:b/>
                <w:sz w:val="17"/>
              </w:rPr>
              <w:t>Evidence required</w:t>
            </w:r>
          </w:p>
        </w:tc>
        <w:tc>
          <w:tcPr>
            <w:tcW w:type="dxa" w:w="7056"/>
          </w:tcPr>
          <w:p>
            <w:pPr>
              <w:spacing w:after="0"/>
            </w:pPr>
            <w:r>
              <w:rPr>
                <w:sz w:val="17"/>
              </w:rPr>
              <w:t>Redlined WISP and approval minutes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2026-07, the Security Lead performed the wisp evaluation and adjustment control for the business email tenant in accordance with the Cedar Hollow WISP. The control owner gathered the required evidence, compared it against the documented procedure and frequency (annually and after material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Redlined WISP and approval minutes saved to the evidence folder for 2026-07.</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business email tenant are reported to the Managing Partners within 30 days, and any related security event is handled under the incident response SOP in Section 11. Closure requires retest evidence.</w:t>
      </w:r>
    </w:p>
    <w:p>
      <w:r>
        <w:t>Sign-off: Security Lead (performed) and Security Lead (reviewed). Record ID CHT-EV-0016. This record is part of a synthetic test fixture for a fictional company.</w:t>
      </w:r>
    </w:p>
    <w:p>
      <w:r>
        <w:br w:type="page"/>
      </w:r>
    </w:p>
    <w:p>
      <w:pPr>
        <w:pStyle w:val="Heading1"/>
      </w:pPr>
      <w:r>
        <w:t>Appendix F.017 - Control evidence checklist item: Incident response plan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Incident response plan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314.4(h)</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Scanner and multifunction printers</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Tested annually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2026-02</w:t>
            </w:r>
          </w:p>
        </w:tc>
      </w:tr>
      <w:tr>
        <w:tc>
          <w:tcPr>
            <w:tcW w:type="dxa" w:w="3024"/>
            <w:shd w:val="clear" w:color="auto" w:fill="F0F3F7"/>
          </w:tcPr>
          <w:p>
            <w:pPr>
              <w:spacing w:after="0"/>
            </w:pPr>
            <w:r>
              <w:rPr>
                <w:b/>
                <w:sz w:val="17"/>
              </w:rPr>
              <w:t>Evidence required</w:t>
            </w:r>
          </w:p>
        </w:tc>
        <w:tc>
          <w:tcPr>
            <w:tcW w:type="dxa" w:w="7056"/>
          </w:tcPr>
          <w:p>
            <w:pPr>
              <w:spacing w:after="0"/>
            </w:pPr>
            <w:r>
              <w:rPr>
                <w:sz w:val="17"/>
              </w:rPr>
              <w:t>Plan, tabletop record, incident log</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2026-02, the Security Lead performed the incident response plan control for the scanner and multifunction printers in accordance with the Cedar Hollow WISP. The control owner gathered the required evidence, compared it against the documented procedure and frequency (tested annually),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Plan saved to the evidence folder for 2026-02.</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scanner and multifunction printers are reported to the Managing Partners within 30 days, and any related security event is handled under the incident response SOP in Section 11. Closure requires retest evidence.</w:t>
      </w:r>
    </w:p>
    <w:p>
      <w:r>
        <w:t>Sign-off: Security Lead (performed) and Security Lead (reviewed). Record ID CHT-EV-0017. This record is part of a synthetic test fixture for a fictional company.</w:t>
      </w:r>
    </w:p>
    <w:p>
      <w:r>
        <w:br w:type="page"/>
      </w:r>
    </w:p>
    <w:p>
      <w:pPr>
        <w:pStyle w:val="Heading1"/>
      </w:pPr>
      <w:r>
        <w:t>Appendix F.018 - Control evidence checklist item: Annual written report to Managing Partners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Annual written report to Managing Partners</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314.4(i)</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Client portal (PortalVault,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(December)</w:t>
            </w:r>
          </w:p>
        </w:tc>
      </w:tr>
      <w:tr>
        <w:tc>
          <w:tcPr>
            <w:tcW w:type="dxa" w:w="3024"/>
            <w:shd w:val="clear" w:color="auto" w:fill="F0F3F7"/>
          </w:tcPr>
          <w:p>
            <w:pPr>
              <w:spacing w:after="0"/>
            </w:pPr>
            <w:r>
              <w:rPr>
                <w:b/>
                <w:sz w:val="17"/>
              </w:rPr>
              <w:t>Review period</w:t>
            </w:r>
          </w:p>
        </w:tc>
        <w:tc>
          <w:tcPr>
            <w:tcW w:type="dxa" w:w="7056"/>
          </w:tcPr>
          <w:p>
            <w:pPr>
              <w:spacing w:after="0"/>
            </w:pPr>
            <w:r>
              <w:rPr>
                <w:sz w:val="17"/>
              </w:rPr>
              <w:t>2026-09</w:t>
            </w:r>
          </w:p>
        </w:tc>
      </w:tr>
      <w:tr>
        <w:tc>
          <w:tcPr>
            <w:tcW w:type="dxa" w:w="3024"/>
            <w:shd w:val="clear" w:color="auto" w:fill="F0F3F7"/>
          </w:tcPr>
          <w:p>
            <w:pPr>
              <w:spacing w:after="0"/>
            </w:pPr>
            <w:r>
              <w:rPr>
                <w:b/>
                <w:sz w:val="17"/>
              </w:rPr>
              <w:t>Evidence required</w:t>
            </w:r>
          </w:p>
        </w:tc>
        <w:tc>
          <w:tcPr>
            <w:tcW w:type="dxa" w:w="7056"/>
          </w:tcPr>
          <w:p>
            <w:pPr>
              <w:spacing w:after="0"/>
            </w:pPr>
            <w:r>
              <w:rPr>
                <w:sz w:val="17"/>
              </w:rPr>
              <w:t>Signed report and partner acknowledgement</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2026-09, the Security Lead performed the annual written report to managing partners control for the client portal (portalvault, fictional) in accordance with the Cedar Hollow WISP. The control owner gathered the required evidence, compared it against the documented procedure and frequency (annually (december)),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Signed report and partner acknowledgement saved to the evidence folder for 2026-09.</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client portal (portalvault, fictional) are reported to the Managing Partners within 30 days, and any related security event is handled under the incident response SOP in Section 11. Closure requires retest evidence.</w:t>
      </w:r>
    </w:p>
    <w:p>
      <w:r>
        <w:t>Sign-off: Security Lead (performed) and Security Lead (reviewed). Record ID CHT-EV-0018. This record is part of a synthetic test fixture for a fictional company.</w:t>
      </w:r>
    </w:p>
    <w:p>
      <w:r>
        <w:br w:type="page"/>
      </w:r>
    </w:p>
    <w:p>
      <w:pPr>
        <w:pStyle w:val="Heading1"/>
      </w:pPr>
      <w:r>
        <w:t>Appendix F.019 - Control evidence checklist item: FTC notification event evaluation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FTC notification event evaluation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314.4(j)</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Cloud backup (SkyKeep,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Legal counsel</w:t>
            </w:r>
          </w:p>
        </w:tc>
      </w:tr>
      <w:tr>
        <w:tc>
          <w:tcPr>
            <w:tcW w:type="dxa" w:w="3024"/>
            <w:shd w:val="clear" w:color="auto" w:fill="F0F3F7"/>
          </w:tcPr>
          <w:p>
            <w:pPr>
              <w:spacing w:after="0"/>
            </w:pPr>
            <w:r>
              <w:rPr>
                <w:b/>
                <w:sz w:val="17"/>
              </w:rPr>
              <w:t>Frequency</w:t>
            </w:r>
          </w:p>
        </w:tc>
        <w:tc>
          <w:tcPr>
            <w:tcW w:type="dxa" w:w="7056"/>
          </w:tcPr>
          <w:p>
            <w:pPr>
              <w:spacing w:after="0"/>
            </w:pPr>
            <w:r>
              <w:rPr>
                <w:sz w:val="17"/>
              </w:rPr>
              <w:t>Per event</w:t>
            </w:r>
          </w:p>
        </w:tc>
      </w:tr>
      <w:tr>
        <w:tc>
          <w:tcPr>
            <w:tcW w:type="dxa" w:w="3024"/>
            <w:shd w:val="clear" w:color="auto" w:fill="F0F3F7"/>
          </w:tcPr>
          <w:p>
            <w:pPr>
              <w:spacing w:after="0"/>
            </w:pPr>
            <w:r>
              <w:rPr>
                <w:b/>
                <w:sz w:val="17"/>
              </w:rPr>
              <w:t>Review period</w:t>
            </w:r>
          </w:p>
        </w:tc>
        <w:tc>
          <w:tcPr>
            <w:tcW w:type="dxa" w:w="7056"/>
          </w:tcPr>
          <w:p>
            <w:pPr>
              <w:spacing w:after="0"/>
            </w:pPr>
            <w:r>
              <w:rPr>
                <w:sz w:val="17"/>
              </w:rPr>
              <w:t>2026-04</w:t>
            </w:r>
          </w:p>
        </w:tc>
      </w:tr>
      <w:tr>
        <w:tc>
          <w:tcPr>
            <w:tcW w:type="dxa" w:w="3024"/>
            <w:shd w:val="clear" w:color="auto" w:fill="F0F3F7"/>
          </w:tcPr>
          <w:p>
            <w:pPr>
              <w:spacing w:after="0"/>
            </w:pPr>
            <w:r>
              <w:rPr>
                <w:b/>
                <w:sz w:val="17"/>
              </w:rPr>
              <w:t>Evidence required</w:t>
            </w:r>
          </w:p>
        </w:tc>
        <w:tc>
          <w:tcPr>
            <w:tcW w:type="dxa" w:w="7056"/>
          </w:tcPr>
          <w:p>
            <w:pPr>
              <w:spacing w:after="0"/>
            </w:pPr>
            <w:r>
              <w:rPr>
                <w:sz w:val="17"/>
              </w:rPr>
              <w:t>Counsel determination memo, submission record if required</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2026-04, the Legal counsel performed the ftc notification event evaluation control for the cloud backup (skykeep, fictional) in accordance with the Cedar Hollow WISP. The control owner gathered the required evidence, compared it against the documented procedure and frequency (per event),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Counsel determination memo saved to the evidence folder for 2026-04.</w:t>
      </w:r>
    </w:p>
    <w:p>
      <w:pPr>
        <w:pStyle w:val="ListBullet"/>
        <w:spacing w:after="20"/>
      </w:pPr>
      <w:r>
        <w:t>Evidence item 2: owner sign-off by the Legal counsel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w:t>
      </w:r>
    </w:p>
    <w:p>
      <w:pPr>
        <w:pStyle w:val="Heading2"/>
      </w:pPr>
      <w:r>
        <w:t>Follow-up and escalation</w:t>
      </w:r>
    </w:p>
    <w:p>
      <w:r>
        <w:t>If this control fails or evidence is missing, the Legal counsel opens a remediation item within five business days, rates the gap using the scoring matrix in Section 4.2, and notifies the Security Lead. High or critical gaps affecting the cloud backup (skykeep, fictional) are reported to the Managing Partners within 30 days, and any related security event is handled under the incident response SOP in Section 11. Closure requires retest evidence.</w:t>
      </w:r>
    </w:p>
    <w:p>
      <w:r>
        <w:t>Sign-off: Legal counsel (performed) and Security Lead (reviewed). Record ID CHT-EV-0019. This record is part of a synthetic test fixture for a fictional company.</w:t>
      </w:r>
    </w:p>
    <w:p>
      <w:r>
        <w:br w:type="page"/>
      </w:r>
    </w:p>
    <w:p>
      <w:pPr>
        <w:pStyle w:val="Heading1"/>
      </w:pPr>
      <w:r>
        <w:t>Appendix F.020 - Control evidence checklist item: Backup and restore testing</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Backup and restore testing</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Continuity control</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Managed IT support provider (NorthPoint,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2025-11</w:t>
            </w:r>
          </w:p>
        </w:tc>
      </w:tr>
      <w:tr>
        <w:tc>
          <w:tcPr>
            <w:tcW w:type="dxa" w:w="3024"/>
            <w:shd w:val="clear" w:color="auto" w:fill="F0F3F7"/>
          </w:tcPr>
          <w:p>
            <w:pPr>
              <w:spacing w:after="0"/>
            </w:pPr>
            <w:r>
              <w:rPr>
                <w:b/>
                <w:sz w:val="17"/>
              </w:rPr>
              <w:t>Evidence required</w:t>
            </w:r>
          </w:p>
        </w:tc>
        <w:tc>
          <w:tcPr>
            <w:tcW w:type="dxa" w:w="7056"/>
          </w:tcPr>
          <w:p>
            <w:pPr>
              <w:spacing w:after="0"/>
            </w:pPr>
            <w:r>
              <w:rPr>
                <w:sz w:val="17"/>
              </w:rPr>
              <w:t>Restore test log with result and duration</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2025-11, the IT Administrator performed the backup and restore testing control for the managed it support provider (northpoint, fictional)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Restore test log with result and duration saved to the evidence folder for 2025-11.</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managed it support provider (northpoint,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CHT-EV-0020. This record is part of a synthetic test fixture for a fictional company.</w:t>
      </w:r>
    </w:p>
    <w:p>
      <w:r>
        <w:br w:type="page"/>
      </w:r>
    </w:p>
    <w:p>
      <w:pPr>
        <w:pStyle w:val="Heading1"/>
      </w:pPr>
      <w:r>
        <w:t>Appendix F.021 - Control evidence checklist item: Offboarding account disablement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Offboarding account disablement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314.4(c)(1)</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Managed laptops - preparer pool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On departure date</w:t>
            </w:r>
          </w:p>
        </w:tc>
      </w:tr>
      <w:tr>
        <w:tc>
          <w:tcPr>
            <w:tcW w:type="dxa" w:w="3024"/>
            <w:shd w:val="clear" w:color="auto" w:fill="F0F3F7"/>
          </w:tcPr>
          <w:p>
            <w:pPr>
              <w:spacing w:after="0"/>
            </w:pPr>
            <w:r>
              <w:rPr>
                <w:b/>
                <w:sz w:val="17"/>
              </w:rPr>
              <w:t>Review period</w:t>
            </w:r>
          </w:p>
        </w:tc>
        <w:tc>
          <w:tcPr>
            <w:tcW w:type="dxa" w:w="7056"/>
          </w:tcPr>
          <w:p>
            <w:pPr>
              <w:spacing w:after="0"/>
            </w:pPr>
            <w:r>
              <w:rPr>
                <w:sz w:val="17"/>
              </w:rPr>
              <w:t>2026-06</w:t>
            </w:r>
          </w:p>
        </w:tc>
      </w:tr>
      <w:tr>
        <w:tc>
          <w:tcPr>
            <w:tcW w:type="dxa" w:w="3024"/>
            <w:shd w:val="clear" w:color="auto" w:fill="F0F3F7"/>
          </w:tcPr>
          <w:p>
            <w:pPr>
              <w:spacing w:after="0"/>
            </w:pPr>
            <w:r>
              <w:rPr>
                <w:b/>
                <w:sz w:val="17"/>
              </w:rPr>
              <w:t>Evidence required</w:t>
            </w:r>
          </w:p>
        </w:tc>
        <w:tc>
          <w:tcPr>
            <w:tcW w:type="dxa" w:w="7056"/>
          </w:tcPr>
          <w:p>
            <w:pPr>
              <w:spacing w:after="0"/>
            </w:pPr>
            <w:r>
              <w:rPr>
                <w:sz w:val="17"/>
              </w:rPr>
              <w:t>Offboarding checklist and disable timestamp</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2026-06, the IT Administrator performed the offboarding account disablement control for the managed laptops - preparer pool in accordance with the Cedar Hollow WISP. The control owner gathered the required evidence, compared it against the documented procedure and frequency (on departure date),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Offboarding checklist and disable timestamp saved to the evidence folder for 2026-06.</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managed laptops - preparer pool are reported to the Managing Partners within 30 days, and any related security event is handled under the incident response SOP in Section 11. Closure requires retest evidence.</w:t>
      </w:r>
    </w:p>
    <w:p>
      <w:r>
        <w:t>Sign-off: IT Administrator (performed) and Security Lead (reviewed). Record ID CHT-EV-0021. This record is part of a synthetic test fixture for a fictional company.</w:t>
      </w:r>
    </w:p>
    <w:p>
      <w:r>
        <w:br w:type="page"/>
      </w:r>
    </w:p>
    <w:p>
      <w:pPr>
        <w:pStyle w:val="Heading1"/>
      </w:pPr>
      <w:r>
        <w:t>Appendix F.022 - Control evidence checklist item: Physical security of file rooms</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Physical security of file rooms</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314.4(c)(1)</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Remote access gateway</w:t>
            </w:r>
          </w:p>
        </w:tc>
      </w:tr>
      <w:tr>
        <w:tc>
          <w:tcPr>
            <w:tcW w:type="dxa" w:w="3024"/>
            <w:shd w:val="clear" w:color="auto" w:fill="F0F3F7"/>
          </w:tcPr>
          <w:p>
            <w:pPr>
              <w:spacing w:after="0"/>
            </w:pPr>
            <w:r>
              <w:rPr>
                <w:b/>
                <w:sz w:val="17"/>
              </w:rPr>
              <w:t>Control owner</w:t>
            </w:r>
          </w:p>
        </w:tc>
        <w:tc>
          <w:tcPr>
            <w:tcW w:type="dxa" w:w="7056"/>
          </w:tcPr>
          <w:p>
            <w:pPr>
              <w:spacing w:after="0"/>
            </w:pPr>
            <w:r>
              <w:rPr>
                <w:sz w:val="17"/>
              </w:rPr>
              <w:t>Operations Manager</w:t>
            </w:r>
          </w:p>
        </w:tc>
      </w:tr>
      <w:tr>
        <w:tc>
          <w:tcPr>
            <w:tcW w:type="dxa" w:w="3024"/>
            <w:shd w:val="clear" w:color="auto" w:fill="F0F3F7"/>
          </w:tcPr>
          <w:p>
            <w:pPr>
              <w:spacing w:after="0"/>
            </w:pPr>
            <w:r>
              <w:rPr>
                <w:b/>
                <w:sz w:val="17"/>
              </w:rPr>
              <w:t>Frequency</w:t>
            </w:r>
          </w:p>
        </w:tc>
        <w:tc>
          <w:tcPr>
            <w:tcW w:type="dxa" w:w="7056"/>
          </w:tcPr>
          <w:p>
            <w:pPr>
              <w:spacing w:after="0"/>
            </w:pPr>
            <w:r>
              <w:rPr>
                <w:sz w:val="17"/>
              </w:rPr>
              <w:t>Monthly walkthrough</w:t>
            </w:r>
          </w:p>
        </w:tc>
      </w:tr>
      <w:tr>
        <w:tc>
          <w:tcPr>
            <w:tcW w:type="dxa" w:w="3024"/>
            <w:shd w:val="clear" w:color="auto" w:fill="F0F3F7"/>
          </w:tcPr>
          <w:p>
            <w:pPr>
              <w:spacing w:after="0"/>
            </w:pPr>
            <w:r>
              <w:rPr>
                <w:b/>
                <w:sz w:val="17"/>
              </w:rPr>
              <w:t>Review period</w:t>
            </w:r>
          </w:p>
        </w:tc>
        <w:tc>
          <w:tcPr>
            <w:tcW w:type="dxa" w:w="7056"/>
          </w:tcPr>
          <w:p>
            <w:pPr>
              <w:spacing w:after="0"/>
            </w:pPr>
            <w:r>
              <w:rPr>
                <w:sz w:val="17"/>
              </w:rPr>
              <w:t>2026-01</w:t>
            </w:r>
          </w:p>
        </w:tc>
      </w:tr>
      <w:tr>
        <w:tc>
          <w:tcPr>
            <w:tcW w:type="dxa" w:w="3024"/>
            <w:shd w:val="clear" w:color="auto" w:fill="F0F3F7"/>
          </w:tcPr>
          <w:p>
            <w:pPr>
              <w:spacing w:after="0"/>
            </w:pPr>
            <w:r>
              <w:rPr>
                <w:b/>
                <w:sz w:val="17"/>
              </w:rPr>
              <w:t>Evidence required</w:t>
            </w:r>
          </w:p>
        </w:tc>
        <w:tc>
          <w:tcPr>
            <w:tcW w:type="dxa" w:w="7056"/>
          </w:tcPr>
          <w:p>
            <w:pPr>
              <w:spacing w:after="0"/>
            </w:pPr>
            <w:r>
              <w:rPr>
                <w:sz w:val="17"/>
              </w:rPr>
              <w:t>Walkthrough checklist and key log</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2026-01, the Operations Manager performed the physical security of file rooms control for the remote access gateway in accordance with the Cedar Hollow WISP. The control owner gathered the required evidence, compared it against the documented procedure and frequency (monthly walkthrough),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Walkthrough checklist and key log saved to the evidence folder for 2026-01.</w:t>
      </w:r>
    </w:p>
    <w:p>
      <w:pPr>
        <w:pStyle w:val="ListBullet"/>
        <w:spacing w:after="20"/>
      </w:pPr>
      <w:r>
        <w:t>Evidence item 2: owner sign-off by the Operations Manager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w:t>
      </w:r>
    </w:p>
    <w:p>
      <w:pPr>
        <w:pStyle w:val="Heading2"/>
      </w:pPr>
      <w:r>
        <w:t>Follow-up and escalation</w:t>
      </w:r>
    </w:p>
    <w:p>
      <w:r>
        <w:t>If this control fails or evidence is missing, the Operations Manager opens a remediation item within five business days, rates the gap using the scoring matrix in Section 4.2, and notifies the Security Lead. High or critical gaps affecting the remote access gateway are reported to the Managing Partners within 30 days, and any related security event is handled under the incident response SOP in Section 11. Closure requires retest evidence.</w:t>
      </w:r>
    </w:p>
    <w:p>
      <w:r>
        <w:t>Sign-off: Operations Manager (performed) and Security Lead (reviewed). Record ID CHT-EV-0022. This record is part of a synthetic test fixture for a fictional company.</w:t>
      </w:r>
    </w:p>
    <w:p>
      <w:r>
        <w:br w:type="page"/>
      </w:r>
    </w:p>
    <w:p>
      <w:pPr>
        <w:pStyle w:val="Heading1"/>
      </w:pPr>
      <w:r>
        <w:t>Appendix F.023 - Control evidence checklist item: Removable media control</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Removable media control</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314.4(c)(3)</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Tax platform (LedgerLine Tax,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2026-08</w:t>
            </w:r>
          </w:p>
        </w:tc>
      </w:tr>
      <w:tr>
        <w:tc>
          <w:tcPr>
            <w:tcW w:type="dxa" w:w="3024"/>
            <w:shd w:val="clear" w:color="auto" w:fill="F0F3F7"/>
          </w:tcPr>
          <w:p>
            <w:pPr>
              <w:spacing w:after="0"/>
            </w:pPr>
            <w:r>
              <w:rPr>
                <w:b/>
                <w:sz w:val="17"/>
              </w:rPr>
              <w:t>Evidence required</w:t>
            </w:r>
          </w:p>
        </w:tc>
        <w:tc>
          <w:tcPr>
            <w:tcW w:type="dxa" w:w="7056"/>
          </w:tcPr>
          <w:p>
            <w:pPr>
              <w:spacing w:after="0"/>
            </w:pPr>
            <w:r>
              <w:rPr>
                <w:sz w:val="17"/>
              </w:rPr>
              <w:t>Blocked device report, approved drive log</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2026-08, the IT Administrator performed the removable media control control for the tax platform (ledgerline tax, fictional) in accordance with the Cedar Hollow WISP. The control owner gathered the required evidence, compared it against the documented procedure and frequency (monthly),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Blocked device report saved to the evidence folder for 2026-08.</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tax platform (ledgerline tax,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CHT-EV-0023. This record is part of a synthetic test fixture for a fictional company.</w:t>
      </w:r>
    </w:p>
    <w:p>
      <w:r>
        <w:br w:type="page"/>
      </w:r>
    </w:p>
    <w:p>
      <w:pPr>
        <w:pStyle w:val="Heading1"/>
      </w:pPr>
      <w:r>
        <w:t>Appendix F.024 - Control evidence checklist item: Retention schedule review</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Retention schedule review</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314.4(c)(6)</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Paper file room</w:t>
            </w:r>
          </w:p>
        </w:tc>
      </w:tr>
      <w:tr>
        <w:tc>
          <w:tcPr>
            <w:tcW w:type="dxa" w:w="3024"/>
            <w:shd w:val="clear" w:color="auto" w:fill="F0F3F7"/>
          </w:tcPr>
          <w:p>
            <w:pPr>
              <w:spacing w:after="0"/>
            </w:pPr>
            <w:r>
              <w:rPr>
                <w:b/>
                <w:sz w:val="17"/>
              </w:rPr>
              <w:t>Control owner</w:t>
            </w:r>
          </w:p>
        </w:tc>
        <w:tc>
          <w:tcPr>
            <w:tcW w:type="dxa" w:w="7056"/>
          </w:tcPr>
          <w:p>
            <w:pPr>
              <w:spacing w:after="0"/>
            </w:pPr>
            <w:r>
              <w:rPr>
                <w:sz w:val="17"/>
              </w:rPr>
              <w:t>Records Manager</w:t>
            </w:r>
          </w:p>
        </w:tc>
      </w:tr>
      <w:tr>
        <w:tc>
          <w:tcPr>
            <w:tcW w:type="dxa" w:w="3024"/>
            <w:shd w:val="clear" w:color="auto" w:fill="F0F3F7"/>
          </w:tcPr>
          <w:p>
            <w:pPr>
              <w:spacing w:after="0"/>
            </w:pPr>
            <w:r>
              <w:rPr>
                <w:b/>
                <w:sz w:val="17"/>
              </w:rPr>
              <w:t>Frequency</w:t>
            </w:r>
          </w:p>
        </w:tc>
        <w:tc>
          <w:tcPr>
            <w:tcW w:type="dxa" w:w="7056"/>
          </w:tcPr>
          <w:p>
            <w:pPr>
              <w:spacing w:after="0"/>
            </w:pPr>
            <w:r>
              <w:rPr>
                <w:sz w:val="17"/>
              </w:rPr>
              <w:t>Annually (July)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2026-03</w:t>
            </w:r>
          </w:p>
        </w:tc>
      </w:tr>
      <w:tr>
        <w:tc>
          <w:tcPr>
            <w:tcW w:type="dxa" w:w="3024"/>
            <w:shd w:val="clear" w:color="auto" w:fill="F0F3F7"/>
          </w:tcPr>
          <w:p>
            <w:pPr>
              <w:spacing w:after="0"/>
            </w:pPr>
            <w:r>
              <w:rPr>
                <w:b/>
                <w:sz w:val="17"/>
              </w:rPr>
              <w:t>Evidence required</w:t>
            </w:r>
          </w:p>
        </w:tc>
        <w:tc>
          <w:tcPr>
            <w:tcW w:type="dxa" w:w="7056"/>
          </w:tcPr>
          <w:p>
            <w:pPr>
              <w:spacing w:after="0"/>
            </w:pPr>
            <w:r>
              <w:rPr>
                <w:sz w:val="17"/>
              </w:rPr>
              <w:t>Approved schedule with change notes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2026-03, the Records Manager performed the retention schedule review control for the paper file room in accordance with the Cedar Hollow WISP. The control owner gathered the required evidence, compared it against the documented procedure and frequency (annually (july)),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Approved schedule with change notes saved to the evidence folder for 2026-03.</w:t>
      </w:r>
    </w:p>
    <w:p>
      <w:pPr>
        <w:pStyle w:val="ListBullet"/>
        <w:spacing w:after="20"/>
      </w:pPr>
      <w:r>
        <w:t>Evidence item 2: owner sign-off by the Records Manager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w:t>
      </w:r>
    </w:p>
    <w:p>
      <w:pPr>
        <w:pStyle w:val="Heading2"/>
      </w:pPr>
      <w:r>
        <w:t>Follow-up and escalation</w:t>
      </w:r>
    </w:p>
    <w:p>
      <w:r>
        <w:t>If this control fails or evidence is missing, the Records Manager opens a remediation item within five business days, rates the gap using the scoring matrix in Section 4.2, and notifies the Security Lead. High or critical gaps affecting the paper file room are reported to the Managing Partners within 30 days, and any related security event is handled under the incident response SOP in Section 11. Closure requires retest evidence.</w:t>
      </w:r>
    </w:p>
    <w:p>
      <w:r>
        <w:t>Sign-off: Records Manager (performed) and Security Lead (reviewed). Record ID CHT-EV-0024. This record is part of a synthetic test fixture for a fictional company.</w:t>
      </w:r>
    </w:p>
    <w:p>
      <w:r>
        <w:br w:type="page"/>
      </w:r>
    </w:p>
    <w:p>
      <w:pPr>
        <w:pStyle w:val="Heading1"/>
      </w:pPr>
      <w:r>
        <w:t>Appendix F.025 - Control evidence checklist item: Annual risk assessment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Annual risk assessment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314.4(b)</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Main office file server</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(January)</w:t>
            </w:r>
          </w:p>
        </w:tc>
      </w:tr>
      <w:tr>
        <w:tc>
          <w:tcPr>
            <w:tcW w:type="dxa" w:w="3024"/>
            <w:shd w:val="clear" w:color="auto" w:fill="F0F3F7"/>
          </w:tcPr>
          <w:p>
            <w:pPr>
              <w:spacing w:after="0"/>
            </w:pPr>
            <w:r>
              <w:rPr>
                <w:b/>
                <w:sz w:val="17"/>
              </w:rPr>
              <w:t>Review period</w:t>
            </w:r>
          </w:p>
        </w:tc>
        <w:tc>
          <w:tcPr>
            <w:tcW w:type="dxa" w:w="7056"/>
          </w:tcPr>
          <w:p>
            <w:pPr>
              <w:spacing w:after="0"/>
            </w:pPr>
            <w:r>
              <w:rPr>
                <w:sz w:val="17"/>
              </w:rPr>
              <w:t>2025-10</w:t>
            </w:r>
          </w:p>
        </w:tc>
      </w:tr>
      <w:tr>
        <w:tc>
          <w:tcPr>
            <w:tcW w:type="dxa" w:w="3024"/>
            <w:shd w:val="clear" w:color="auto" w:fill="F0F3F7"/>
          </w:tcPr>
          <w:p>
            <w:pPr>
              <w:spacing w:after="0"/>
            </w:pPr>
            <w:r>
              <w:rPr>
                <w:b/>
                <w:sz w:val="17"/>
              </w:rPr>
              <w:t>Evidence required</w:t>
            </w:r>
          </w:p>
        </w:tc>
        <w:tc>
          <w:tcPr>
            <w:tcW w:type="dxa" w:w="7056"/>
          </w:tcPr>
          <w:p>
            <w:pPr>
              <w:spacing w:after="0"/>
            </w:pPr>
            <w:r>
              <w:rPr>
                <w:sz w:val="17"/>
              </w:rPr>
              <w:t>Signed risk register, scoring worksheets, partner review minutes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2025-10, the Security Lead performed the annual risk assessment control for the main office file server in accordance with the Cedar Hollow WISP. The control owner gathered the required evidence, compared it against the documented procedure and frequency (annually (january)),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Signed risk register saved to the evidence folder for 2025-10.</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main office file server are reported to the Managing Partners within 30 days, and any related security event is handled under the incident response SOP in Section 11. Closure requires retest evidence.</w:t>
      </w:r>
    </w:p>
    <w:p>
      <w:r>
        <w:t>Sign-off: Security Lead (performed) and Security Lead (reviewed). Record ID CHT-EV-0025. This record is part of a synthetic test fixture for a fictional company.</w:t>
      </w:r>
    </w:p>
    <w:p>
      <w:r>
        <w:br w:type="page"/>
      </w:r>
    </w:p>
    <w:p>
      <w:pPr>
        <w:pStyle w:val="Heading1"/>
      </w:pPr>
      <w:r>
        <w:t>Appendix F.026 - Control evidence checklist item: Quarterly access review</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Quarterly access review</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314.4(c)(1)</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Seasonal satellite office</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2026-05</w:t>
            </w:r>
          </w:p>
        </w:tc>
      </w:tr>
      <w:tr>
        <w:tc>
          <w:tcPr>
            <w:tcW w:type="dxa" w:w="3024"/>
            <w:shd w:val="clear" w:color="auto" w:fill="F0F3F7"/>
          </w:tcPr>
          <w:p>
            <w:pPr>
              <w:spacing w:after="0"/>
            </w:pPr>
            <w:r>
              <w:rPr>
                <w:b/>
                <w:sz w:val="17"/>
              </w:rPr>
              <w:t>Evidence required</w:t>
            </w:r>
          </w:p>
        </w:tc>
        <w:tc>
          <w:tcPr>
            <w:tcW w:type="dxa" w:w="7056"/>
          </w:tcPr>
          <w:p>
            <w:pPr>
              <w:spacing w:after="0"/>
            </w:pPr>
            <w:r>
              <w:rPr>
                <w:sz w:val="17"/>
              </w:rPr>
              <w:t>Account attestation per system, removal tickets, reviewer sign-off</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2026-05, the Security Lead performed the quarterly access review control for the seasonal satellite office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Account attestation per system saved to the evidence folder for 2026-05.</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seasonal satellite office are reported to the Managing Partners within 30 days, and any related security event is handled under the incident response SOP in Section 11. Closure requires retest evidence.</w:t>
      </w:r>
    </w:p>
    <w:p>
      <w:r>
        <w:t>Sign-off: Security Lead (performed) and Security Lead (reviewed). Record ID CHT-EV-0026. This record is part of a synthetic test fixture for a fictional company.</w:t>
      </w:r>
    </w:p>
    <w:p>
      <w:r>
        <w:br w:type="page"/>
      </w:r>
    </w:p>
    <w:p>
      <w:pPr>
        <w:pStyle w:val="Heading1"/>
      </w:pPr>
      <w:r>
        <w:t>Appendix F.027 - Control evidence checklist item: Data and system inventory</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Data and system inventory</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314.4(c)(2)</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Records storage vendor</w:t>
            </w:r>
          </w:p>
        </w:tc>
      </w:tr>
      <w:tr>
        <w:tc>
          <w:tcPr>
            <w:tcW w:type="dxa" w:w="3024"/>
            <w:shd w:val="clear" w:color="auto" w:fill="F0F3F7"/>
          </w:tcPr>
          <w:p>
            <w:pPr>
              <w:spacing w:after="0"/>
            </w:pPr>
            <w:r>
              <w:rPr>
                <w:b/>
                <w:sz w:val="17"/>
              </w:rPr>
              <w:t>Control owner</w:t>
            </w:r>
          </w:p>
        </w:tc>
        <w:tc>
          <w:tcPr>
            <w:tcW w:type="dxa" w:w="7056"/>
          </w:tcPr>
          <w:p>
            <w:pPr>
              <w:spacing w:after="0"/>
            </w:pPr>
            <w:r>
              <w:rPr>
                <w:sz w:val="17"/>
              </w:rPr>
              <w:t>Security Lead</w:t>
            </w:r>
          </w:p>
        </w:tc>
      </w:tr>
      <w:tr>
        <w:tc>
          <w:tcPr>
            <w:tcW w:type="dxa" w:w="3024"/>
            <w:shd w:val="clear" w:color="auto" w:fill="F0F3F7"/>
          </w:tcPr>
          <w:p>
            <w:pPr>
              <w:spacing w:after="0"/>
            </w:pPr>
            <w:r>
              <w:rPr>
                <w:b/>
                <w:sz w:val="17"/>
              </w:rPr>
              <w:t>Frequency</w:t>
            </w:r>
          </w:p>
        </w:tc>
        <w:tc>
          <w:tcPr>
            <w:tcW w:type="dxa" w:w="7056"/>
          </w:tcPr>
          <w:p>
            <w:pPr>
              <w:spacing w:after="0"/>
            </w:pPr>
            <w:r>
              <w:rPr>
                <w:sz w:val="17"/>
              </w:rPr>
              <w:t>Annually and on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2025-12</w:t>
            </w:r>
          </w:p>
        </w:tc>
      </w:tr>
      <w:tr>
        <w:tc>
          <w:tcPr>
            <w:tcW w:type="dxa" w:w="3024"/>
            <w:shd w:val="clear" w:color="auto" w:fill="F0F3F7"/>
          </w:tcPr>
          <w:p>
            <w:pPr>
              <w:spacing w:after="0"/>
            </w:pPr>
            <w:r>
              <w:rPr>
                <w:b/>
                <w:sz w:val="17"/>
              </w:rPr>
              <w:t>Evidence required</w:t>
            </w:r>
          </w:p>
        </w:tc>
        <w:tc>
          <w:tcPr>
            <w:tcW w:type="dxa" w:w="7056"/>
          </w:tcPr>
          <w:p>
            <w:pPr>
              <w:spacing w:after="0"/>
            </w:pPr>
            <w:r>
              <w:rPr>
                <w:sz w:val="17"/>
              </w:rPr>
              <w:t>Inventory export with verification dates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2025-12, the Security Lead performed the data and system inventory control for the records storage vendor in accordance with the Cedar Hollow WISP. The control owner gathered the required evidence, compared it against the documented procedure and frequency (annually and on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Inventory export with verification dates saved to the evidence folder for 2025-12.</w:t>
      </w:r>
    </w:p>
    <w:p>
      <w:pPr>
        <w:pStyle w:val="ListBullet"/>
        <w:spacing w:after="20"/>
      </w:pPr>
      <w:r>
        <w:t>Evidence item 2: owner sign-off by the Security Lead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w:t>
      </w:r>
    </w:p>
    <w:p>
      <w:pPr>
        <w:pStyle w:val="Heading2"/>
      </w:pPr>
      <w:r>
        <w:t>Follow-up and escalation</w:t>
      </w:r>
    </w:p>
    <w:p>
      <w:r>
        <w:t>If this control fails or evidence is missing, the Security Lead opens a remediation item within five business days, rates the gap using the scoring matrix in Section 4.2, and notifies the Security Lead. High or critical gaps affecting the records storage vendor are reported to the Managing Partners within 30 days, and any related security event is handled under the incident response SOP in Section 11. Closure requires retest evidence.</w:t>
      </w:r>
    </w:p>
    <w:p>
      <w:r>
        <w:t>Sign-off: Security Lead (performed) and Security Lead (reviewed). Record ID CHT-EV-0027. This record is part of a synthetic test fixture for a fictional company.</w:t>
      </w:r>
    </w:p>
    <w:p>
      <w:r>
        <w:br w:type="page"/>
      </w:r>
    </w:p>
    <w:p>
      <w:pPr>
        <w:pStyle w:val="Heading1"/>
      </w:pPr>
      <w:r>
        <w:t>Appendix F.028 - Control evidence checklist item: Encryption at rest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Encryption at rest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314.4(c)(3)</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Business email tenant</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 verification</w:t>
            </w:r>
          </w:p>
        </w:tc>
      </w:tr>
      <w:tr>
        <w:tc>
          <w:tcPr>
            <w:tcW w:type="dxa" w:w="3024"/>
            <w:shd w:val="clear" w:color="auto" w:fill="F0F3F7"/>
          </w:tcPr>
          <w:p>
            <w:pPr>
              <w:spacing w:after="0"/>
            </w:pPr>
            <w:r>
              <w:rPr>
                <w:b/>
                <w:sz w:val="17"/>
              </w:rPr>
              <w:t>Review period</w:t>
            </w:r>
          </w:p>
        </w:tc>
        <w:tc>
          <w:tcPr>
            <w:tcW w:type="dxa" w:w="7056"/>
          </w:tcPr>
          <w:p>
            <w:pPr>
              <w:spacing w:after="0"/>
            </w:pPr>
            <w:r>
              <w:rPr>
                <w:sz w:val="17"/>
              </w:rPr>
              <w:t>2026-07</w:t>
            </w:r>
          </w:p>
        </w:tc>
      </w:tr>
      <w:tr>
        <w:tc>
          <w:tcPr>
            <w:tcW w:type="dxa" w:w="3024"/>
            <w:shd w:val="clear" w:color="auto" w:fill="F0F3F7"/>
          </w:tcPr>
          <w:p>
            <w:pPr>
              <w:spacing w:after="0"/>
            </w:pPr>
            <w:r>
              <w:rPr>
                <w:b/>
                <w:sz w:val="17"/>
              </w:rPr>
              <w:t>Evidence required</w:t>
            </w:r>
          </w:p>
        </w:tc>
        <w:tc>
          <w:tcPr>
            <w:tcW w:type="dxa" w:w="7056"/>
          </w:tcPr>
          <w:p>
            <w:pPr>
              <w:spacing w:after="0"/>
            </w:pPr>
            <w:r>
              <w:rPr>
                <w:sz w:val="17"/>
              </w:rPr>
              <w:t>Device console encryption report, exception register</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2026-07, the IT Administrator performed the encryption at rest control for the business email tenant in accordance with the Cedar Hollow WISP. The control owner gathered the required evidence, compared it against the documented procedure and frequency (monthly verification),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Device console encryption report saved to the evidence folder for 2026-07.</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business email tenant are reported to the Managing Partners within 30 days, and any related security event is handled under the incident response SOP in Section 11. Closure requires retest evidence.</w:t>
      </w:r>
    </w:p>
    <w:p>
      <w:r>
        <w:t>Sign-off: IT Administrator (performed) and Security Lead (reviewed). Record ID CHT-EV-0028. This record is part of a synthetic test fixture for a fictional company.</w:t>
      </w:r>
    </w:p>
    <w:p>
      <w:r>
        <w:br w:type="page"/>
      </w:r>
    </w:p>
    <w:p>
      <w:pPr>
        <w:pStyle w:val="Heading1"/>
      </w:pPr>
      <w:r>
        <w:t>Appendix F.029 - Control evidence checklist item: Encryption in transit</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Encryption in transit</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314.4(c)(3)</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Scanner and multifunction printers</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Quarterly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2026-02</w:t>
            </w:r>
          </w:p>
        </w:tc>
      </w:tr>
      <w:tr>
        <w:tc>
          <w:tcPr>
            <w:tcW w:type="dxa" w:w="3024"/>
            <w:shd w:val="clear" w:color="auto" w:fill="F0F3F7"/>
          </w:tcPr>
          <w:p>
            <w:pPr>
              <w:spacing w:after="0"/>
            </w:pPr>
            <w:r>
              <w:rPr>
                <w:b/>
                <w:sz w:val="17"/>
              </w:rPr>
              <w:t>Evidence required</w:t>
            </w:r>
          </w:p>
        </w:tc>
        <w:tc>
          <w:tcPr>
            <w:tcW w:type="dxa" w:w="7056"/>
          </w:tcPr>
          <w:p>
            <w:pPr>
              <w:spacing w:after="0"/>
            </w:pPr>
            <w:r>
              <w:rPr>
                <w:sz w:val="17"/>
              </w:rPr>
              <w:t>TLS configuration scan, portal and email settings capture</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2026-02, the IT Administrator performed the encryption in transit control for the scanner and multifunction printers in accordance with the Cedar Hollow WISP. The control owner gathered the required evidence, compared it against the documented procedure and frequency (quarterly),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TLS configuration scan saved to the evidence folder for 2026-02.</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scanner and multifunction printers are reported to the Managing Partners within 30 days, and any related security event is handled under the incident response SOP in Section 11. Closure requires retest evidence.</w:t>
      </w:r>
    </w:p>
    <w:p>
      <w:r>
        <w:t>Sign-off: IT Administrator (performed) and Security Lead (reviewed). Record ID CHT-EV-0029. This record is part of a synthetic test fixture for a fictional company.</w:t>
      </w:r>
    </w:p>
    <w:p>
      <w:r>
        <w:br w:type="page"/>
      </w:r>
    </w:p>
    <w:p>
      <w:pPr>
        <w:pStyle w:val="Heading1"/>
      </w:pPr>
      <w:r>
        <w:t>Appendix F.030 - Control evidence checklist item: Secure development and configuration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Secure development and configuration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314.4(c)(4)</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Client portal (PortalVault,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On change</w:t>
            </w:r>
          </w:p>
        </w:tc>
      </w:tr>
      <w:tr>
        <w:tc>
          <w:tcPr>
            <w:tcW w:type="dxa" w:w="3024"/>
            <w:shd w:val="clear" w:color="auto" w:fill="F0F3F7"/>
          </w:tcPr>
          <w:p>
            <w:pPr>
              <w:spacing w:after="0"/>
            </w:pPr>
            <w:r>
              <w:rPr>
                <w:b/>
                <w:sz w:val="17"/>
              </w:rPr>
              <w:t>Review period</w:t>
            </w:r>
          </w:p>
        </w:tc>
        <w:tc>
          <w:tcPr>
            <w:tcW w:type="dxa" w:w="7056"/>
          </w:tcPr>
          <w:p>
            <w:pPr>
              <w:spacing w:after="0"/>
            </w:pPr>
            <w:r>
              <w:rPr>
                <w:sz w:val="17"/>
              </w:rPr>
              <w:t>2026-09</w:t>
            </w:r>
          </w:p>
        </w:tc>
      </w:tr>
      <w:tr>
        <w:tc>
          <w:tcPr>
            <w:tcW w:type="dxa" w:w="3024"/>
            <w:shd w:val="clear" w:color="auto" w:fill="F0F3F7"/>
          </w:tcPr>
          <w:p>
            <w:pPr>
              <w:spacing w:after="0"/>
            </w:pPr>
            <w:r>
              <w:rPr>
                <w:b/>
                <w:sz w:val="17"/>
              </w:rPr>
              <w:t>Evidence required</w:t>
            </w:r>
          </w:p>
        </w:tc>
        <w:tc>
          <w:tcPr>
            <w:tcW w:type="dxa" w:w="7056"/>
          </w:tcPr>
          <w:p>
            <w:pPr>
              <w:spacing w:after="0"/>
            </w:pPr>
            <w:r>
              <w:rPr>
                <w:sz w:val="17"/>
              </w:rPr>
              <w:t>Baseline configuration records and deviation log</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2026-09, the IT Administrator performed the secure development and configuration control for the client portal (portalvault, fictional) in accordance with the Cedar Hollow WISP. The control owner gathered the required evidence, compared it against the documented procedure and frequency (on change),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Baseline configuration records and deviation log saved to the evidence folder for 2026-09.</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No shared accounts were identified; named accounts were confirmed against the current staff roster provided by the Operations Manager. The record was cross-referenced to the risk register entry so that residual risk ratings reflect the current control status. Where a service provider performs the control, the provider's attestation and the contract clause reference are attached. The reviewer noted that the procedure in this WISP was followed as written and did not require an update this period. The control result is summarized in the annual written report to the Managing Partners under the control testing section. Training records show that staff with access to taxpayer data completed the required module before access was granted. Disposal evidence for this period includes the vendor certificate of destruction and the internal disposal log entry. 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client portal (portalvault,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CHT-EV-0030. This record is part of a synthetic test fixture for a fictional company.</w:t>
      </w:r>
    </w:p>
    <w:p>
      <w:r>
        <w:br w:type="page"/>
      </w:r>
    </w:p>
    <w:p>
      <w:pPr>
        <w:pStyle w:val="Heading1"/>
      </w:pPr>
      <w:r>
        <w:t>Appendix F.031 - Control evidence checklist item: Multi-factor authentication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Multi-factor authentication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314.4(c)(5)</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Cloud backup (SkyKeep,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IT Administrator</w:t>
            </w:r>
          </w:p>
        </w:tc>
      </w:tr>
      <w:tr>
        <w:tc>
          <w:tcPr>
            <w:tcW w:type="dxa" w:w="3024"/>
            <w:shd w:val="clear" w:color="auto" w:fill="F0F3F7"/>
          </w:tcPr>
          <w:p>
            <w:pPr>
              <w:spacing w:after="0"/>
            </w:pPr>
            <w:r>
              <w:rPr>
                <w:b/>
                <w:sz w:val="17"/>
              </w:rPr>
              <w:t>Frequency</w:t>
            </w:r>
          </w:p>
        </w:tc>
        <w:tc>
          <w:tcPr>
            <w:tcW w:type="dxa" w:w="7056"/>
          </w:tcPr>
          <w:p>
            <w:pPr>
              <w:spacing w:after="0"/>
            </w:pPr>
            <w:r>
              <w:rPr>
                <w:sz w:val="17"/>
              </w:rPr>
              <w:t>Monthly</w:t>
            </w:r>
          </w:p>
        </w:tc>
      </w:tr>
      <w:tr>
        <w:tc>
          <w:tcPr>
            <w:tcW w:type="dxa" w:w="3024"/>
            <w:shd w:val="clear" w:color="auto" w:fill="F0F3F7"/>
          </w:tcPr>
          <w:p>
            <w:pPr>
              <w:spacing w:after="0"/>
            </w:pPr>
            <w:r>
              <w:rPr>
                <w:b/>
                <w:sz w:val="17"/>
              </w:rPr>
              <w:t>Review period</w:t>
            </w:r>
          </w:p>
        </w:tc>
        <w:tc>
          <w:tcPr>
            <w:tcW w:type="dxa" w:w="7056"/>
          </w:tcPr>
          <w:p>
            <w:pPr>
              <w:spacing w:after="0"/>
            </w:pPr>
            <w:r>
              <w:rPr>
                <w:sz w:val="17"/>
              </w:rPr>
              <w:t>2026-04</w:t>
            </w:r>
          </w:p>
        </w:tc>
      </w:tr>
      <w:tr>
        <w:tc>
          <w:tcPr>
            <w:tcW w:type="dxa" w:w="3024"/>
            <w:shd w:val="clear" w:color="auto" w:fill="F0F3F7"/>
          </w:tcPr>
          <w:p>
            <w:pPr>
              <w:spacing w:after="0"/>
            </w:pPr>
            <w:r>
              <w:rPr>
                <w:b/>
                <w:sz w:val="17"/>
              </w:rPr>
              <w:t>Evidence required</w:t>
            </w:r>
          </w:p>
        </w:tc>
        <w:tc>
          <w:tcPr>
            <w:tcW w:type="dxa" w:w="7056"/>
          </w:tcPr>
          <w:p>
            <w:pPr>
              <w:spacing w:after="0"/>
            </w:pPr>
            <w:r>
              <w:rPr>
                <w:sz w:val="17"/>
              </w:rPr>
              <w:t>MFA enrollment report for all accounts with customer information access</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2026-04, the IT Administrator performed the multi-factor authentication control for the cloud backup (skykeep, fictional) in accordance with the Cedar Hollow WISP. The control owner gathered the required evidence, compared it against the documented procedure and frequency (monthly),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MFA enrollment report for all accounts with customer information access saved to the evidence folder for 2026-04.</w:t>
      </w:r>
    </w:p>
    <w:p>
      <w:pPr>
        <w:pStyle w:val="ListBullet"/>
        <w:spacing w:after="20"/>
      </w:pPr>
      <w:r>
        <w:t>Evidence item 2: owner sign-off by the IT Administrator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MFA enrollment was confirmed for every account in scope, including administrator and service accounts with interactive access. The reviewer sampled five records from the period and traced each one to the supporting ticket or log entry without exception. Change tickets affecting this control were reviewed to confirm that the system owner approved the change before implementation. Monitoring alerts related to this control were reviewed within the cadence stated in the monitoring and logging section. The service provider register was checked to confirm that any vendor involved in this control has a current annual review. The Managing Partners were informed of no material weaknesses for this control in the current period. Retention of this evidence follows the retention schedule in Appendix D, and the evidence is not subject to a legal hold. 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w:t>
      </w:r>
    </w:p>
    <w:p>
      <w:pPr>
        <w:pStyle w:val="Heading2"/>
      </w:pPr>
      <w:r>
        <w:t>Follow-up and escalation</w:t>
      </w:r>
    </w:p>
    <w:p>
      <w:r>
        <w:t>If this control fails or evidence is missing, the IT Administrator opens a remediation item within five business days, rates the gap using the scoring matrix in Section 4.2, and notifies the Security Lead. High or critical gaps affecting the cloud backup (skykeep, fictional) are reported to the Managing Partners within 30 days, and any related security event is handled under the incident response SOP in Section 11. Closure requires retest evidence.</w:t>
      </w:r>
    </w:p>
    <w:p>
      <w:r>
        <w:t>Sign-off: IT Administrator (performed) and Security Lead (reviewed). Record ID CHT-EV-0031. This record is part of a synthetic test fixture for a fictional company.</w:t>
      </w:r>
    </w:p>
    <w:p>
      <w:r>
        <w:br w:type="page"/>
      </w:r>
    </w:p>
    <w:p>
      <w:pPr>
        <w:pStyle w:val="Heading1"/>
      </w:pPr>
      <w:r>
        <w:t>Appendix F.032 - Control evidence checklist item: Secure disposal of customer information</w:t>
      </w:r>
    </w:p>
    <w:tbl>
      <w:tblPr>
        <w:tblStyle w:val="TableGrid"/>
        <w:tblW w:type="auto" w:w="0"/>
        <w:tblLayout w:type="fixed"/>
        <w:tblLook w:firstColumn="1" w:firstRow="1" w:lastColumn="0" w:lastRow="0" w:noHBand="0" w:noVBand="1" w:val="04A0"/>
      </w:tblPr>
      <w:tblGrid>
        <w:gridCol w:w="3024"/>
        <w:gridCol w:w="7056"/>
      </w:tblGrid>
      <w:tr>
        <w:tc>
          <w:tcPr>
            <w:tcW w:type="dxa" w:w="3024"/>
            <w:shd w:val="clear" w:color="auto" w:fill="F0F3F7"/>
          </w:tcPr>
          <w:p>
            <w:pPr>
              <w:spacing w:after="0"/>
            </w:pPr>
            <w:r>
              <w:rPr>
                <w:b/>
                <w:sz w:val="17"/>
              </w:rPr>
              <w:t>Control area</w:t>
            </w:r>
          </w:p>
        </w:tc>
        <w:tc>
          <w:tcPr>
            <w:tcW w:type="dxa" w:w="7056"/>
          </w:tcPr>
          <w:p>
            <w:pPr>
              <w:spacing w:after="0"/>
            </w:pPr>
            <w:r>
              <w:rPr>
                <w:sz w:val="17"/>
              </w:rPr>
              <w:t>Secure disposal of customer information</w:t>
            </w:r>
          </w:p>
        </w:tc>
      </w:tr>
      <w:tr>
        <w:tc>
          <w:tcPr>
            <w:tcW w:type="dxa" w:w="3024"/>
            <w:shd w:val="clear" w:color="auto" w:fill="F0F3F7"/>
          </w:tcPr>
          <w:p>
            <w:pPr>
              <w:spacing w:after="0"/>
            </w:pPr>
            <w:r>
              <w:rPr>
                <w:b/>
                <w:sz w:val="17"/>
              </w:rPr>
              <w:t>Requirement reference</w:t>
            </w:r>
          </w:p>
        </w:tc>
        <w:tc>
          <w:tcPr>
            <w:tcW w:type="dxa" w:w="7056"/>
          </w:tcPr>
          <w:p>
            <w:pPr>
              <w:spacing w:after="0"/>
            </w:pPr>
            <w:r>
              <w:rPr>
                <w:sz w:val="17"/>
              </w:rPr>
              <w:t>16 CFR 314.4(c)(6)</w:t>
            </w:r>
          </w:p>
        </w:tc>
      </w:tr>
      <w:tr>
        <w:tc>
          <w:tcPr>
            <w:tcW w:type="dxa" w:w="3024"/>
            <w:shd w:val="clear" w:color="auto" w:fill="F0F3F7"/>
          </w:tcPr>
          <w:p>
            <w:pPr>
              <w:spacing w:after="0"/>
            </w:pPr>
            <w:r>
              <w:rPr>
                <w:b/>
                <w:sz w:val="17"/>
              </w:rPr>
              <w:t>Scope for this record</w:t>
            </w:r>
          </w:p>
        </w:tc>
        <w:tc>
          <w:tcPr>
            <w:tcW w:type="dxa" w:w="7056"/>
          </w:tcPr>
          <w:p>
            <w:pPr>
              <w:spacing w:after="0"/>
            </w:pPr>
            <w:r>
              <w:rPr>
                <w:sz w:val="17"/>
              </w:rPr>
              <w:t>Managed IT support provider (NorthPoint, fictional)</w:t>
            </w:r>
          </w:p>
        </w:tc>
      </w:tr>
      <w:tr>
        <w:tc>
          <w:tcPr>
            <w:tcW w:type="dxa" w:w="3024"/>
            <w:shd w:val="clear" w:color="auto" w:fill="F0F3F7"/>
          </w:tcPr>
          <w:p>
            <w:pPr>
              <w:spacing w:after="0"/>
            </w:pPr>
            <w:r>
              <w:rPr>
                <w:b/>
                <w:sz w:val="17"/>
              </w:rPr>
              <w:t>Control owner</w:t>
            </w:r>
          </w:p>
        </w:tc>
        <w:tc>
          <w:tcPr>
            <w:tcW w:type="dxa" w:w="7056"/>
          </w:tcPr>
          <w:p>
            <w:pPr>
              <w:spacing w:after="0"/>
            </w:pPr>
            <w:r>
              <w:rPr>
                <w:sz w:val="17"/>
              </w:rPr>
              <w:t>Records Manager</w:t>
            </w:r>
          </w:p>
        </w:tc>
      </w:tr>
      <w:tr>
        <w:tc>
          <w:tcPr>
            <w:tcW w:type="dxa" w:w="3024"/>
            <w:shd w:val="clear" w:color="auto" w:fill="F0F3F7"/>
          </w:tcPr>
          <w:p>
            <w:pPr>
              <w:spacing w:after="0"/>
            </w:pPr>
            <w:r>
              <w:rPr>
                <w:b/>
                <w:sz w:val="17"/>
              </w:rPr>
              <w:t>Frequency</w:t>
            </w:r>
          </w:p>
        </w:tc>
        <w:tc>
          <w:tcPr>
            <w:tcW w:type="dxa" w:w="7056"/>
          </w:tcPr>
          <w:p>
            <w:pPr>
              <w:spacing w:after="0"/>
            </w:pPr>
            <w:r>
              <w:rPr>
                <w:sz w:val="17"/>
              </w:rPr>
              <w:t>Per retention schedule</w:t>
            </w:r>
          </w:p>
        </w:tc>
      </w:tr>
      <w:tr>
        <w:tc>
          <w:tcPr>
            <w:tcW w:type="dxa" w:w="3024"/>
            <w:shd w:val="clear" w:color="auto" w:fill="F0F3F7"/>
          </w:tcPr>
          <w:p>
            <w:pPr>
              <w:spacing w:after="0"/>
            </w:pPr>
            <w:r>
              <w:rPr>
                <w:b/>
                <w:sz w:val="17"/>
              </w:rPr>
              <w:t>Review period</w:t>
            </w:r>
          </w:p>
        </w:tc>
        <w:tc>
          <w:tcPr>
            <w:tcW w:type="dxa" w:w="7056"/>
          </w:tcPr>
          <w:p>
            <w:pPr>
              <w:spacing w:after="0"/>
            </w:pPr>
            <w:r>
              <w:rPr>
                <w:sz w:val="17"/>
              </w:rPr>
              <w:t>2025-11</w:t>
            </w:r>
          </w:p>
        </w:tc>
      </w:tr>
      <w:tr>
        <w:tc>
          <w:tcPr>
            <w:tcW w:type="dxa" w:w="3024"/>
            <w:shd w:val="clear" w:color="auto" w:fill="F0F3F7"/>
          </w:tcPr>
          <w:p>
            <w:pPr>
              <w:spacing w:after="0"/>
            </w:pPr>
            <w:r>
              <w:rPr>
                <w:b/>
                <w:sz w:val="17"/>
              </w:rPr>
              <w:t>Evidence required</w:t>
            </w:r>
          </w:p>
        </w:tc>
        <w:tc>
          <w:tcPr>
            <w:tcW w:type="dxa" w:w="7056"/>
          </w:tcPr>
          <w:p>
            <w:pPr>
              <w:spacing w:after="0"/>
            </w:pPr>
            <w:r>
              <w:rPr>
                <w:sz w:val="17"/>
              </w:rPr>
              <w:t>Disposal log, vendor certificates of destruction</w:t>
            </w:r>
          </w:p>
        </w:tc>
      </w:tr>
      <w:tr>
        <w:tc>
          <w:tcPr>
            <w:tcW w:type="dxa" w:w="3024"/>
            <w:shd w:val="clear" w:color="auto" w:fill="F0F3F7"/>
          </w:tcPr>
          <w:p>
            <w:pPr>
              <w:spacing w:after="0"/>
            </w:pPr>
            <w:r>
              <w:rPr>
                <w:b/>
                <w:sz w:val="17"/>
              </w:rPr>
              <w:t>Status</w:t>
            </w:r>
          </w:p>
        </w:tc>
        <w:tc>
          <w:tcPr>
            <w:tcW w:type="dxa" w:w="7056"/>
          </w:tcPr>
          <w:p>
            <w:pPr>
              <w:spacing w:after="0"/>
            </w:pPr>
            <w:r>
              <w:rPr>
                <w:sz w:val="17"/>
              </w:rPr>
              <w:t>Operating as designed - evidence on file</w:t>
            </w:r>
          </w:p>
        </w:tc>
      </w:tr>
    </w:tbl>
    <w:p>
      <w:pPr>
        <w:spacing w:after="40"/>
      </w:pPr>
    </w:p>
    <w:p>
      <w:pPr>
        <w:pStyle w:val="Heading2"/>
      </w:pPr>
      <w:r>
        <w:t>Procedure performed</w:t>
      </w:r>
    </w:p>
    <w:p>
      <w:r>
        <w:t>For the review period 2025-11, the Records Manager performed the secure disposal of customer information control for the managed it support provider (northpoint, fictional) in accordance with the Cedar Hollow WISP. The control owner gathered the required evidence, compared it against the documented procedure and frequency (per retention schedule), and recorded any deviation in the exception register. The Security Lead, as Qualified Individual, reviewed the completed record, confirmed that customer information within the scope remained protected, and signed the record. Findings, if any, were assigned an owner and a due date and tracked to closure in the remediation tracker referenced by this appendix.</w:t>
      </w:r>
    </w:p>
    <w:p>
      <w:pPr>
        <w:pStyle w:val="Heading2"/>
      </w:pPr>
      <w:r>
        <w:t>Evidence checklist</w:t>
      </w:r>
    </w:p>
    <w:p>
      <w:pPr>
        <w:pStyle w:val="ListBullet"/>
        <w:spacing w:after="20"/>
      </w:pPr>
      <w:r>
        <w:t>Evidence item 1: Disposal log saved to the evidence folder for 2025-11.</w:t>
      </w:r>
    </w:p>
    <w:p>
      <w:pPr>
        <w:pStyle w:val="ListBullet"/>
        <w:spacing w:after="20"/>
      </w:pPr>
      <w:r>
        <w:t>Evidence item 2: owner sign-off by the Records Manager with date recorded.</w:t>
      </w:r>
    </w:p>
    <w:p>
      <w:pPr>
        <w:pStyle w:val="ListBullet"/>
        <w:spacing w:after="20"/>
      </w:pPr>
      <w:r>
        <w:t>Evidence item 3: Security Lead (Qualified Individual) review signature and date.</w:t>
      </w:r>
    </w:p>
    <w:p>
      <w:pPr>
        <w:pStyle w:val="ListBullet"/>
        <w:spacing w:after="20"/>
      </w:pPr>
      <w:r>
        <w:t>Evidence item 4: exception register checked; new exceptions approved by the Managing Partners with an expiration date.</w:t>
      </w:r>
    </w:p>
    <w:p>
      <w:pPr>
        <w:pStyle w:val="ListBullet"/>
        <w:spacing w:after="20"/>
      </w:pPr>
      <w:r>
        <w:t>Evidence item 5: risk register entry updated to reflect current residual risk.</w:t>
      </w:r>
    </w:p>
    <w:p>
      <w:pPr>
        <w:pStyle w:val="ListBullet"/>
        <w:spacing w:after="20"/>
      </w:pPr>
      <w:r>
        <w:t>Evidence item 6: result carried forward to the annual written report to the Managing Partners.</w:t>
      </w:r>
    </w:p>
    <w:p>
      <w:pPr>
        <w:pStyle w:val="Heading2"/>
      </w:pPr>
      <w:r>
        <w:t>Reviewer notes</w:t>
      </w:r>
    </w:p>
    <w:p>
      <w:r>
        <w:t>The independent tester's most recent report did not include findings that affect this control. Restore testing confirmed that backups covering this scope could be recovered within the target recovery time. The Operations Manager confirmed that role changes for staff in this scope were reported within one business day. The reviewer confirmed that the evidence matches the frequency stated in the WISP and that the owner signed the record. Any exception identified during the review was entered in the exception register with an owner, compensating control, and expiration date. The Security Lead verified that remediation items from the prior period were closed and that closure evidence is attached. Customer information remained encrypted at rest and in transit for the systems covered by this record during the review period. Access to the evidence folder is limited to the Security Lead, the Managing Partners, and the external assessor when engaged. No shared accounts were identified; named accounts were confirmed against the current staff roster provided by the Operations Manager. The record was cross-referenced to the risk register entry so that residual risk ratings reflect the current control status.</w:t>
      </w:r>
    </w:p>
    <w:p>
      <w:pPr>
        <w:pStyle w:val="Heading2"/>
      </w:pPr>
      <w:r>
        <w:t>Follow-up and escalation</w:t>
      </w:r>
    </w:p>
    <w:p>
      <w:r>
        <w:t>If this control fails or evidence is missing, the Records Manager opens a remediation item within five business days, rates the gap using the scoring matrix in Section 4.2, and notifies the Security Lead. High or critical gaps affecting the managed it support provider (northpoint, fictional) are reported to the Managing Partners within 30 days, and any related security event is handled under the incident response SOP in Section 11. Closure requires retest evidence.</w:t>
      </w:r>
    </w:p>
    <w:p>
      <w:r>
        <w:t>Sign-off: Records Manager (performed) and Security Lead (reviewed). Record ID CHT-EV-0032. This record is part of a synthetic test fixture for a fictional company.</w:t>
      </w:r>
    </w:p>
    <w:sectPr w:rsidR="00FC693F" w:rsidRPr="0006063C" w:rsidSect="00034616">
      <w:headerReference w:type="default" r:id="rId9"/>
      <w:footerReference w:type="default" r:id="rId10"/>
      <w:pgSz w:w="12240" w:h="15840"/>
      <w:pgMar w:top="1008" w:right="1080" w:bottom="1152" w:left="1080" w:header="432"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CHT-SEC-001  |  SYNTHETIC  |  Fictional company - no customer data  |  Page </w:t>
    </w:r>
    <w:r>
      <w:rPr>
        <w:sz w:val="16"/>
      </w:rPr>
      <w:fldChar w:fldCharType="begin"/>
      <w:instrText xml:space="preserve"> PAGE </w:instrText>
      <w:fldChar w:fldCharType="separate"/>
      <w:t>1</w:t>
      <w:fldChar w:fldCharType="end"/>
    </w:r>
    <w:r>
      <w:rPr>
        <w:sz w:val="16"/>
      </w:rPr>
      <w:t xml:space="preserve"> of </w:t>
    </w:r>
    <w:r>
      <w:rPr>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B00020"/>
        <w:sz w:val="16"/>
      </w:rPr>
      <w:t>SYNTHETIC TEST DOCUMENT — FICTIONAL COMPANY — NO CUSTOMER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1F3A5F"/>
      <w:sz w:val="25"/>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Arial" w:hAnsi="Arial"/>
      <w:b/>
      <w:bCs/>
      <w:color w:val="1F3A5F"/>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20"/>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Hollow Tax Services LLC - Written Information Security Plan (WISP)</dc:title>
  <dc:subject>SYNTHETIC TEST DOCUMENT — FICTIONAL COMPANY — NO CUSTOMER DATA</dc:subject>
  <dc:creator>AuditReady synthetic fixture</dc:creator>
  <cp:keywords/>
  <dc:description>generated by python-docx</dc:description>
  <cp:lastModifiedBy/>
  <cp:revision>1</cp:revision>
  <dcterms:created xsi:type="dcterms:W3CDTF">2013-12-23T23:15:00Z</dcterms:created>
  <dcterms:modified xsi:type="dcterms:W3CDTF">2013-12-23T23:15:00Z</dcterms:modified>
  <cp:category/>
</cp:coreProperties>
</file>