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00020"/>
          <w:sz w:val="22"/>
        </w:rPr>
        <w:t>SYNTHETIC TEST DOCUMENT — FICTIONAL COMPANY — NO CUSTOMER DATA</w:t>
      </w:r>
    </w:p>
    <w:p>
      <w:pPr>
        <w:pStyle w:val="Title"/>
        <w:spacing w:before="800"/>
      </w:pPr>
      <w:r>
        <w:t>Lantern Auto Finance LLC</w:t>
      </w:r>
    </w:p>
    <w:p>
      <w:pPr>
        <w:spacing w:after="280"/>
      </w:pPr>
      <w:r>
        <w:rPr>
          <w:sz w:val="30"/>
        </w:rPr>
        <w:t>Identity Theft Prevention / Red Flags Program - DRAFT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Document ID</w:t>
            </w:r>
          </w:p>
        </w:tc>
        <w:tc>
          <w:tcPr>
            <w:tcW w:type="dxa" w:w="7056"/>
          </w:tcPr>
          <w:p>
            <w:pPr>
              <w:spacing w:after="0"/>
            </w:pPr>
            <w:r>
              <w:rPr>
                <w:sz w:val="17"/>
              </w:rPr>
              <w:t>LAF-ID-004</w:t>
            </w:r>
          </w:p>
        </w:tc>
      </w:tr>
      <w:tr>
        <w:tc>
          <w:tcPr>
            <w:tcW w:type="dxa" w:w="3024"/>
            <w:shd w:val="clear" w:color="auto" w:fill="F0F3F7"/>
          </w:tcPr>
          <w:p>
            <w:pPr>
              <w:spacing w:after="0"/>
            </w:pPr>
            <w:r>
              <w:rPr>
                <w:b/>
                <w:sz w:val="17"/>
              </w:rPr>
              <w:t>Version</w:t>
            </w:r>
          </w:p>
        </w:tc>
        <w:tc>
          <w:tcPr>
            <w:tcW w:type="dxa" w:w="7056"/>
          </w:tcPr>
          <w:p>
            <w:pPr>
              <w:spacing w:after="0"/>
            </w:pPr>
            <w:r>
              <w:rPr>
                <w:sz w:val="17"/>
              </w:rPr>
              <w:t>0.3 (draft)</w:t>
            </w:r>
          </w:p>
        </w:tc>
      </w:tr>
      <w:tr>
        <w:tc>
          <w:tcPr>
            <w:tcW w:type="dxa" w:w="3024"/>
            <w:shd w:val="clear" w:color="auto" w:fill="F0F3F7"/>
          </w:tcPr>
          <w:p>
            <w:pPr>
              <w:spacing w:after="0"/>
            </w:pPr>
            <w:r>
              <w:rPr>
                <w:b/>
                <w:sz w:val="17"/>
              </w:rPr>
              <w:t>Drafted</w:t>
            </w:r>
          </w:p>
        </w:tc>
        <w:tc>
          <w:tcPr>
            <w:tcW w:type="dxa" w:w="7056"/>
          </w:tcPr>
          <w:p>
            <w:pPr>
              <w:spacing w:after="0"/>
            </w:pPr>
            <w:r>
              <w:rPr>
                <w:sz w:val="17"/>
              </w:rPr>
              <w:t>2026-09-12</w:t>
            </w:r>
          </w:p>
        </w:tc>
      </w:tr>
      <w:tr>
        <w:tc>
          <w:tcPr>
            <w:tcW w:type="dxa" w:w="3024"/>
            <w:shd w:val="clear" w:color="auto" w:fill="F0F3F7"/>
          </w:tcPr>
          <w:p>
            <w:pPr>
              <w:spacing w:after="0"/>
            </w:pPr>
            <w:r>
              <w:rPr>
                <w:b/>
                <w:sz w:val="17"/>
              </w:rPr>
              <w:t>Owner</w:t>
            </w:r>
          </w:p>
        </w:tc>
        <w:tc>
          <w:tcPr>
            <w:tcW w:type="dxa" w:w="7056"/>
          </w:tcPr>
          <w:p>
            <w:pPr>
              <w:spacing w:after="0"/>
            </w:pPr>
            <w:r>
              <w:rPr>
                <w:sz w:val="17"/>
              </w:rPr>
              <w:t>Finance and Insurance Manager</w:t>
            </w:r>
          </w:p>
        </w:tc>
      </w:tr>
      <w:tr>
        <w:tc>
          <w:tcPr>
            <w:tcW w:type="dxa" w:w="3024"/>
            <w:shd w:val="clear" w:color="auto" w:fill="F0F3F7"/>
          </w:tcPr>
          <w:p>
            <w:pPr>
              <w:spacing w:after="0"/>
            </w:pPr>
            <w:r>
              <w:rPr>
                <w:b/>
                <w:sz w:val="17"/>
              </w:rPr>
              <w:t>Approval status</w:t>
            </w:r>
          </w:p>
        </w:tc>
        <w:tc>
          <w:tcPr>
            <w:tcW w:type="dxa" w:w="7056"/>
          </w:tcPr>
          <w:p>
            <w:pPr>
              <w:spacing w:after="0"/>
            </w:pPr>
            <w:r>
              <w:rPr>
                <w:sz w:val="17"/>
              </w:rPr>
              <w:t>Not yet approved - no board or senior employee approval recorded</w:t>
            </w:r>
          </w:p>
        </w:tc>
      </w:tr>
      <w:tr>
        <w:tc>
          <w:tcPr>
            <w:tcW w:type="dxa" w:w="3024"/>
            <w:shd w:val="clear" w:color="auto" w:fill="F0F3F7"/>
          </w:tcPr>
          <w:p>
            <w:pPr>
              <w:spacing w:after="0"/>
            </w:pPr>
            <w:r>
              <w:rPr>
                <w:b/>
                <w:sz w:val="17"/>
              </w:rPr>
              <w:t>Next scheduled review</w:t>
            </w:r>
          </w:p>
        </w:tc>
        <w:tc>
          <w:tcPr>
            <w:tcW w:type="dxa" w:w="7056"/>
          </w:tcPr>
          <w:p>
            <w:pPr>
              <w:spacing w:after="0"/>
            </w:pPr>
            <w:r>
              <w:rPr>
                <w:sz w:val="17"/>
              </w:rPr>
              <w:t>Not set in this draft (open item)</w:t>
            </w:r>
          </w:p>
        </w:tc>
      </w:tr>
      <w:tr>
        <w:tc>
          <w:tcPr>
            <w:tcW w:type="dxa" w:w="3024"/>
            <w:shd w:val="clear" w:color="auto" w:fill="F0F3F7"/>
          </w:tcPr>
          <w:p>
            <w:pPr>
              <w:spacing w:after="0"/>
            </w:pPr>
            <w:r>
              <w:rPr>
                <w:b/>
                <w:sz w:val="17"/>
              </w:rPr>
              <w:t>Classification</w:t>
            </w:r>
          </w:p>
        </w:tc>
        <w:tc>
          <w:tcPr>
            <w:tcW w:type="dxa" w:w="7056"/>
          </w:tcPr>
          <w:p>
            <w:pPr>
              <w:spacing w:after="0"/>
            </w:pPr>
            <w:r>
              <w:rPr>
                <w:sz w:val="17"/>
              </w:rPr>
              <w:t>Internal - synthetic test fixture</w:t>
            </w:r>
          </w:p>
        </w:tc>
      </w:tr>
    </w:tbl>
    <w:p>
      <w:pPr>
        <w:spacing w:after="40"/>
      </w:pPr>
    </w:p>
    <w:p>
      <w:r>
        <w:t>This document is a synthetic test fixture created for AuditReady page-count, pricing, and pre-scan testing. The company, people, vendors, and events are fictional. It contains no real customer data and no protected health information.</w:t>
      </w:r>
    </w:p>
    <w:p>
      <w:pPr>
        <w:pStyle w:val="Heading2"/>
      </w:pPr>
      <w:r>
        <w:t>Test intent</w:t>
      </w:r>
    </w:p>
    <w:p>
      <w:r>
        <w:t>A partially written Red Flags program. It names relevant warning signs and responses while explicitly leaving approval, documented risk assessment, service-provider oversight, training evidence, and review timing open. Expanded appendices repeat those open items; they are intentional gaps and are not resolved.</w:t>
      </w:r>
    </w:p>
    <w:p>
      <w:r>
        <w:br w:type="page"/>
      </w:r>
    </w:p>
    <w:p>
      <w:pPr>
        <w:pStyle w:val="Heading1"/>
      </w:pPr>
      <w:r>
        <w:t>Draft history</w:t>
      </w:r>
    </w:p>
    <w:tbl>
      <w:tblPr>
        <w:tblStyle w:val="TableGrid"/>
        <w:tblW w:type="auto" w:w="0"/>
        <w:tblLayout w:type="fixed"/>
        <w:tblLook w:firstColumn="1" w:firstRow="1" w:lastColumn="0" w:lastRow="0" w:noHBand="0" w:noVBand="1" w:val="04A0"/>
      </w:tblPr>
      <w:tblGrid>
        <w:gridCol w:w="1008"/>
        <w:gridCol w:w="1512"/>
        <w:gridCol w:w="2016"/>
        <w:gridCol w:w="5544"/>
      </w:tblGrid>
      <w:tr>
        <w:tc>
          <w:tcPr>
            <w:tcW w:type="dxa" w:w="1008"/>
            <w:shd w:val="clear" w:color="auto" w:fill="E3E9F1"/>
          </w:tcPr>
          <w:p>
            <w:pPr>
              <w:spacing w:after="0"/>
            </w:pPr>
            <w:r>
              <w:rPr>
                <w:b/>
                <w:sz w:val="17"/>
              </w:rPr>
              <w:t>Version</w:t>
            </w:r>
          </w:p>
        </w:tc>
        <w:tc>
          <w:tcPr>
            <w:tcW w:type="dxa" w:w="1512"/>
            <w:shd w:val="clear" w:color="auto" w:fill="E3E9F1"/>
          </w:tcPr>
          <w:p>
            <w:pPr>
              <w:spacing w:after="0"/>
            </w:pPr>
            <w:r>
              <w:rPr>
                <w:b/>
                <w:sz w:val="17"/>
              </w:rPr>
              <w:t>Date</w:t>
            </w:r>
          </w:p>
        </w:tc>
        <w:tc>
          <w:tcPr>
            <w:tcW w:type="dxa" w:w="2016"/>
            <w:shd w:val="clear" w:color="auto" w:fill="E3E9F1"/>
          </w:tcPr>
          <w:p>
            <w:pPr>
              <w:spacing w:after="0"/>
            </w:pPr>
            <w:r>
              <w:rPr>
                <w:b/>
                <w:sz w:val="17"/>
              </w:rPr>
              <w:t>Author (role)</w:t>
            </w:r>
          </w:p>
        </w:tc>
        <w:tc>
          <w:tcPr>
            <w:tcW w:type="dxa" w:w="5544"/>
            <w:shd w:val="clear" w:color="auto" w:fill="E3E9F1"/>
          </w:tcPr>
          <w:p>
            <w:pPr>
              <w:spacing w:after="0"/>
            </w:pPr>
            <w:r>
              <w:rPr>
                <w:b/>
                <w:sz w:val="17"/>
              </w:rPr>
              <w:t>Summary of change</w:t>
            </w:r>
          </w:p>
        </w:tc>
      </w:tr>
      <w:tr>
        <w:tc>
          <w:tcPr>
            <w:tcW w:type="dxa" w:w="1008"/>
          </w:tcPr>
          <w:p>
            <w:pPr>
              <w:spacing w:after="0"/>
            </w:pPr>
            <w:r>
              <w:rPr>
                <w:sz w:val="17"/>
              </w:rPr>
              <w:t>0.1</w:t>
            </w:r>
          </w:p>
        </w:tc>
        <w:tc>
          <w:tcPr>
            <w:tcW w:type="dxa" w:w="1512"/>
          </w:tcPr>
          <w:p>
            <w:pPr>
              <w:spacing w:after="0"/>
            </w:pPr>
            <w:r>
              <w:rPr>
                <w:sz w:val="17"/>
              </w:rPr>
              <w:t>2026-07-02</w:t>
            </w:r>
          </w:p>
        </w:tc>
        <w:tc>
          <w:tcPr>
            <w:tcW w:type="dxa" w:w="2016"/>
          </w:tcPr>
          <w:p>
            <w:pPr>
              <w:spacing w:after="0"/>
            </w:pPr>
            <w:r>
              <w:rPr>
                <w:sz w:val="17"/>
              </w:rPr>
              <w:t>F&amp;I Manager</w:t>
            </w:r>
          </w:p>
        </w:tc>
        <w:tc>
          <w:tcPr>
            <w:tcW w:type="dxa" w:w="5544"/>
          </w:tcPr>
          <w:p>
            <w:pPr>
              <w:spacing w:after="0"/>
            </w:pPr>
            <w:r>
              <w:rPr>
                <w:sz w:val="17"/>
              </w:rPr>
              <w:t>Outline of red flags and response steps.</w:t>
            </w:r>
          </w:p>
        </w:tc>
      </w:tr>
      <w:tr>
        <w:tc>
          <w:tcPr>
            <w:tcW w:type="dxa" w:w="1008"/>
          </w:tcPr>
          <w:p>
            <w:pPr>
              <w:spacing w:after="0"/>
            </w:pPr>
            <w:r>
              <w:rPr>
                <w:sz w:val="17"/>
              </w:rPr>
              <w:t>0.2</w:t>
            </w:r>
          </w:p>
        </w:tc>
        <w:tc>
          <w:tcPr>
            <w:tcW w:type="dxa" w:w="1512"/>
          </w:tcPr>
          <w:p>
            <w:pPr>
              <w:spacing w:after="0"/>
            </w:pPr>
            <w:r>
              <w:rPr>
                <w:sz w:val="17"/>
              </w:rPr>
              <w:t>2026-08-08</w:t>
            </w:r>
          </w:p>
        </w:tc>
        <w:tc>
          <w:tcPr>
            <w:tcW w:type="dxa" w:w="2016"/>
          </w:tcPr>
          <w:p>
            <w:pPr>
              <w:spacing w:after="0"/>
            </w:pPr>
            <w:r>
              <w:rPr>
                <w:sz w:val="17"/>
              </w:rPr>
              <w:t>F&amp;I Manager</w:t>
            </w:r>
          </w:p>
        </w:tc>
        <w:tc>
          <w:tcPr>
            <w:tcW w:type="dxa" w:w="5544"/>
          </w:tcPr>
          <w:p>
            <w:pPr>
              <w:spacing w:after="0"/>
            </w:pPr>
            <w:r>
              <w:rPr>
                <w:sz w:val="17"/>
              </w:rPr>
              <w:t>Added detection procedure for application intake.</w:t>
            </w:r>
          </w:p>
        </w:tc>
      </w:tr>
      <w:tr>
        <w:tc>
          <w:tcPr>
            <w:tcW w:type="dxa" w:w="1008"/>
          </w:tcPr>
          <w:p>
            <w:pPr>
              <w:spacing w:after="0"/>
            </w:pPr>
            <w:r>
              <w:rPr>
                <w:sz w:val="17"/>
              </w:rPr>
              <w:t>0.3</w:t>
            </w:r>
          </w:p>
        </w:tc>
        <w:tc>
          <w:tcPr>
            <w:tcW w:type="dxa" w:w="1512"/>
          </w:tcPr>
          <w:p>
            <w:pPr>
              <w:spacing w:after="0"/>
            </w:pPr>
            <w:r>
              <w:rPr>
                <w:sz w:val="17"/>
              </w:rPr>
              <w:t>2026-09-12</w:t>
            </w:r>
          </w:p>
        </w:tc>
        <w:tc>
          <w:tcPr>
            <w:tcW w:type="dxa" w:w="2016"/>
          </w:tcPr>
          <w:p>
            <w:pPr>
              <w:spacing w:after="0"/>
            </w:pPr>
            <w:r>
              <w:rPr>
                <w:sz w:val="17"/>
              </w:rPr>
              <w:t>F&amp;I Manager</w:t>
            </w:r>
          </w:p>
        </w:tc>
        <w:tc>
          <w:tcPr>
            <w:tcW w:type="dxa" w:w="5544"/>
          </w:tcPr>
          <w:p>
            <w:pPr>
              <w:spacing w:after="0"/>
            </w:pPr>
            <w:r>
              <w:rPr>
                <w:sz w:val="17"/>
              </w:rPr>
              <w:t>Added service provider and training notes; approval still pending.</w:t>
            </w:r>
          </w:p>
        </w:tc>
      </w:tr>
    </w:tbl>
    <w:p>
      <w:pPr>
        <w:spacing w:after="40"/>
      </w:pPr>
    </w:p>
    <w:p>
      <w:pPr>
        <w:pStyle w:val="Heading2"/>
      </w:pPr>
      <w:r>
        <w:t>Approval record</w:t>
      </w:r>
    </w:p>
    <w:tbl>
      <w:tblPr>
        <w:tblStyle w:val="TableGrid"/>
        <w:tblW w:type="auto" w:w="0"/>
        <w:tblLayout w:type="fixed"/>
        <w:tblLook w:firstColumn="1" w:firstRow="1" w:lastColumn="0" w:lastRow="0" w:noHBand="0" w:noVBand="1" w:val="04A0"/>
      </w:tblPr>
      <w:tblGrid>
        <w:gridCol w:w="4032"/>
        <w:gridCol w:w="2016"/>
        <w:gridCol w:w="1512"/>
        <w:gridCol w:w="2520"/>
      </w:tblGrid>
      <w:tr>
        <w:tc>
          <w:tcPr>
            <w:tcW w:type="dxa" w:w="4032"/>
            <w:shd w:val="clear" w:color="auto" w:fill="E3E9F1"/>
          </w:tcPr>
          <w:p>
            <w:pPr>
              <w:spacing w:after="0"/>
            </w:pPr>
            <w:r>
              <w:rPr>
                <w:b/>
                <w:sz w:val="17"/>
              </w:rPr>
              <w:t>Approver</w:t>
            </w:r>
          </w:p>
        </w:tc>
        <w:tc>
          <w:tcPr>
            <w:tcW w:type="dxa" w:w="2016"/>
            <w:shd w:val="clear" w:color="auto" w:fill="E3E9F1"/>
          </w:tcPr>
          <w:p>
            <w:pPr>
              <w:spacing w:after="0"/>
            </w:pPr>
            <w:r>
              <w:rPr>
                <w:b/>
                <w:sz w:val="17"/>
              </w:rPr>
              <w:t>Decision</w:t>
            </w:r>
          </w:p>
        </w:tc>
        <w:tc>
          <w:tcPr>
            <w:tcW w:type="dxa" w:w="1512"/>
            <w:shd w:val="clear" w:color="auto" w:fill="E3E9F1"/>
          </w:tcPr>
          <w:p>
            <w:pPr>
              <w:spacing w:after="0"/>
            </w:pPr>
            <w:r>
              <w:rPr>
                <w:b/>
                <w:sz w:val="17"/>
              </w:rPr>
              <w:t>Date</w:t>
            </w:r>
          </w:p>
        </w:tc>
        <w:tc>
          <w:tcPr>
            <w:tcW w:type="dxa" w:w="2520"/>
            <w:shd w:val="clear" w:color="auto" w:fill="E3E9F1"/>
          </w:tcPr>
          <w:p>
            <w:pPr>
              <w:spacing w:after="0"/>
            </w:pPr>
            <w:r>
              <w:rPr>
                <w:b/>
                <w:sz w:val="17"/>
              </w:rPr>
              <w:t>Evidence reference</w:t>
            </w:r>
          </w:p>
        </w:tc>
      </w:tr>
      <w:tr>
        <w:tc>
          <w:tcPr>
            <w:tcW w:type="dxa" w:w="4032"/>
          </w:tcPr>
          <w:p>
            <w:pPr>
              <w:spacing w:after="0"/>
            </w:pPr>
            <w:r>
              <w:rPr>
                <w:sz w:val="17"/>
              </w:rPr>
              <w:t>Board of directors or appropriate senior employee</w:t>
            </w:r>
          </w:p>
        </w:tc>
        <w:tc>
          <w:tcPr>
            <w:tcW w:type="dxa" w:w="2016"/>
          </w:tcPr>
          <w:p>
            <w:pPr>
              <w:spacing w:after="0"/>
            </w:pPr>
            <w:r>
              <w:rPr>
                <w:sz w:val="17"/>
              </w:rPr>
              <w:t>Not yet approved</w:t>
            </w:r>
          </w:p>
        </w:tc>
        <w:tc>
          <w:tcPr>
            <w:tcW w:type="dxa" w:w="1512"/>
          </w:tcPr>
          <w:p>
            <w:pPr>
              <w:spacing w:after="0"/>
            </w:pPr>
            <w:r>
              <w:rPr>
                <w:sz w:val="17"/>
              </w:rPr>
              <w:t>-</w:t>
            </w:r>
          </w:p>
        </w:tc>
        <w:tc>
          <w:tcPr>
            <w:tcW w:type="dxa" w:w="2520"/>
          </w:tcPr>
          <w:p>
            <w:pPr>
              <w:spacing w:after="0"/>
            </w:pPr>
            <w:r>
              <w:rPr>
                <w:sz w:val="17"/>
              </w:rPr>
              <w:t>None on file</w:t>
            </w:r>
          </w:p>
        </w:tc>
      </w:tr>
    </w:tbl>
    <w:p>
      <w:pPr>
        <w:spacing w:after="40"/>
      </w:pPr>
    </w:p>
    <w:p>
      <w:r>
        <w:t>OPEN ITEM (intentional test gap): The Red Flags Rule expects the initial written program to be approved by the board of directors, an appropriate committee of the board, or, if there is no board, an appropriate senior employee. This draft has not been approved by anyone.</w:t>
      </w:r>
    </w:p>
    <w:p>
      <w:pPr>
        <w:pStyle w:val="Heading2"/>
      </w:pPr>
      <w:r>
        <w:t>Contents</w:t>
      </w:r>
    </w:p>
    <w:p>
      <w:pPr>
        <w:pStyle w:val="ListBullet"/>
        <w:spacing w:after="20"/>
      </w:pPr>
      <w:r>
        <w:t>1. Business and covered accounts</w:t>
      </w:r>
    </w:p>
    <w:p>
      <w:pPr>
        <w:pStyle w:val="ListBullet"/>
        <w:spacing w:after="20"/>
      </w:pPr>
      <w:r>
        <w:t>2. Red flags to watch for</w:t>
      </w:r>
    </w:p>
    <w:p>
      <w:pPr>
        <w:pStyle w:val="ListBullet"/>
        <w:spacing w:after="20"/>
      </w:pPr>
      <w:r>
        <w:t>3. Detection procedure</w:t>
      </w:r>
    </w:p>
    <w:p>
      <w:pPr>
        <w:pStyle w:val="ListBullet"/>
        <w:spacing w:after="20"/>
      </w:pPr>
      <w:r>
        <w:t>4. Response procedure</w:t>
      </w:r>
    </w:p>
    <w:p>
      <w:pPr>
        <w:pStyle w:val="ListBullet"/>
        <w:spacing w:after="20"/>
      </w:pPr>
      <w:r>
        <w:t>5. Service providers and training</w:t>
      </w:r>
    </w:p>
    <w:p>
      <w:pPr>
        <w:pStyle w:val="ListBullet"/>
        <w:spacing w:after="20"/>
      </w:pPr>
      <w:r>
        <w:t>6. Program administration</w:t>
      </w:r>
    </w:p>
    <w:p>
      <w:pPr>
        <w:pStyle w:val="ListBullet"/>
        <w:spacing w:after="20"/>
      </w:pPr>
      <w:r>
        <w:t>7. Roles (draft)</w:t>
      </w:r>
    </w:p>
    <w:p>
      <w:pPr>
        <w:pStyle w:val="ListBullet"/>
        <w:spacing w:after="20"/>
      </w:pPr>
      <w:r>
        <w:t>8. Open items register</w:t>
      </w:r>
    </w:p>
    <w:p>
      <w:pPr>
        <w:pStyle w:val="ListBullet"/>
        <w:spacing w:after="20"/>
      </w:pPr>
      <w:r>
        <w:t>9. Glossary</w:t>
      </w:r>
    </w:p>
    <w:p>
      <w:pPr>
        <w:pStyle w:val="ListBullet"/>
        <w:spacing w:after="20"/>
      </w:pPr>
      <w:r>
        <w:t>Appendix A - Red flag catalog (draft)</w:t>
      </w:r>
    </w:p>
    <w:p>
      <w:pPr>
        <w:pStyle w:val="ListBullet"/>
        <w:spacing w:after="20"/>
      </w:pPr>
      <w:r>
        <w:t>Appendix B - Intake checklist (current version)</w:t>
      </w:r>
    </w:p>
    <w:p>
      <w:pPr>
        <w:pStyle w:val="ListBullet"/>
        <w:spacing w:after="20"/>
      </w:pPr>
      <w:r>
        <w:t>Appendices F onward - Red flag review worksheets and open-item records</w:t>
      </w:r>
    </w:p>
    <w:p>
      <w:pPr>
        <w:pStyle w:val="Heading1"/>
      </w:pPr>
      <w:r>
        <w:t>1. Business and covered accounts</w:t>
      </w:r>
    </w:p>
    <w:p>
      <w:r>
        <w:t>Lantern is a fictional automobile dealer that offers vehicle financing through retail installment contracts. The company treats consumer financing accounts with multiple payments as covered accounts. The Finance and Insurance Manager is supposed to review new account types each year, but no completed covered-account risk assessment is attached to this draft.</w:t>
      </w:r>
    </w:p>
    <w:tbl>
      <w:tblPr>
        <w:tblStyle w:val="TableGrid"/>
        <w:tblW w:type="auto" w:w="0"/>
        <w:tblLayout w:type="fixed"/>
        <w:tblLook w:firstColumn="1" w:firstRow="1" w:lastColumn="0" w:lastRow="0" w:noHBand="0" w:noVBand="1" w:val="04A0"/>
      </w:tblPr>
      <w:tblGrid>
        <w:gridCol w:w="3226"/>
        <w:gridCol w:w="1814"/>
        <w:gridCol w:w="3024"/>
        <w:gridCol w:w="2016"/>
      </w:tblGrid>
      <w:tr>
        <w:tc>
          <w:tcPr>
            <w:tcW w:type="dxa" w:w="3226"/>
            <w:shd w:val="clear" w:color="auto" w:fill="E3E9F1"/>
          </w:tcPr>
          <w:p>
            <w:pPr>
              <w:spacing w:after="0"/>
            </w:pPr>
            <w:r>
              <w:rPr>
                <w:b/>
                <w:sz w:val="17"/>
              </w:rPr>
              <w:t>Account type</w:t>
            </w:r>
          </w:p>
        </w:tc>
        <w:tc>
          <w:tcPr>
            <w:tcW w:type="dxa" w:w="1814"/>
            <w:shd w:val="clear" w:color="auto" w:fill="E3E9F1"/>
          </w:tcPr>
          <w:p>
            <w:pPr>
              <w:spacing w:after="0"/>
            </w:pPr>
            <w:r>
              <w:rPr>
                <w:b/>
                <w:sz w:val="17"/>
              </w:rPr>
              <w:t>Covered account?</w:t>
            </w:r>
          </w:p>
        </w:tc>
        <w:tc>
          <w:tcPr>
            <w:tcW w:type="dxa" w:w="3024"/>
            <w:shd w:val="clear" w:color="auto" w:fill="E3E9F1"/>
          </w:tcPr>
          <w:p>
            <w:pPr>
              <w:spacing w:after="0"/>
            </w:pPr>
            <w:r>
              <w:rPr>
                <w:b/>
                <w:sz w:val="17"/>
              </w:rPr>
              <w:t>Basis</w:t>
            </w:r>
          </w:p>
        </w:tc>
        <w:tc>
          <w:tcPr>
            <w:tcW w:type="dxa" w:w="2016"/>
            <w:shd w:val="clear" w:color="auto" w:fill="E3E9F1"/>
          </w:tcPr>
          <w:p>
            <w:pPr>
              <w:spacing w:after="0"/>
            </w:pPr>
            <w:r>
              <w:rPr>
                <w:b/>
                <w:sz w:val="17"/>
              </w:rPr>
              <w:t>Risk assessment on file</w:t>
            </w:r>
          </w:p>
        </w:tc>
      </w:tr>
      <w:tr>
        <w:tc>
          <w:tcPr>
            <w:tcW w:type="dxa" w:w="3226"/>
          </w:tcPr>
          <w:p>
            <w:pPr>
              <w:spacing w:after="0"/>
            </w:pPr>
            <w:r>
              <w:rPr>
                <w:sz w:val="17"/>
              </w:rPr>
              <w:t>Retail installment contract (consumer)</w:t>
            </w:r>
          </w:p>
        </w:tc>
        <w:tc>
          <w:tcPr>
            <w:tcW w:type="dxa" w:w="1814"/>
          </w:tcPr>
          <w:p>
            <w:pPr>
              <w:spacing w:after="0"/>
            </w:pPr>
            <w:r>
              <w:rPr>
                <w:sz w:val="17"/>
              </w:rPr>
              <w:t>Yes (draft view)</w:t>
            </w:r>
          </w:p>
        </w:tc>
        <w:tc>
          <w:tcPr>
            <w:tcW w:type="dxa" w:w="3024"/>
          </w:tcPr>
          <w:p>
            <w:pPr>
              <w:spacing w:after="0"/>
            </w:pPr>
            <w:r>
              <w:rPr>
                <w:sz w:val="17"/>
              </w:rPr>
              <w:t>Consumer account with multiple payments</w:t>
            </w:r>
          </w:p>
        </w:tc>
        <w:tc>
          <w:tcPr>
            <w:tcW w:type="dxa" w:w="2016"/>
          </w:tcPr>
          <w:p>
            <w:pPr>
              <w:spacing w:after="0"/>
            </w:pPr>
            <w:r>
              <w:rPr>
                <w:sz w:val="17"/>
              </w:rPr>
              <w:t>No</w:t>
            </w:r>
          </w:p>
        </w:tc>
      </w:tr>
      <w:tr>
        <w:tc>
          <w:tcPr>
            <w:tcW w:type="dxa" w:w="3226"/>
          </w:tcPr>
          <w:p>
            <w:pPr>
              <w:spacing w:after="0"/>
            </w:pPr>
            <w:r>
              <w:rPr>
                <w:sz w:val="17"/>
              </w:rPr>
              <w:t>Lease referral (consumer)</w:t>
            </w:r>
          </w:p>
        </w:tc>
        <w:tc>
          <w:tcPr>
            <w:tcW w:type="dxa" w:w="1814"/>
          </w:tcPr>
          <w:p>
            <w:pPr>
              <w:spacing w:after="0"/>
            </w:pPr>
            <w:r>
              <w:rPr>
                <w:sz w:val="17"/>
              </w:rPr>
              <w:t>Undetermined</w:t>
            </w:r>
          </w:p>
        </w:tc>
        <w:tc>
          <w:tcPr>
            <w:tcW w:type="dxa" w:w="3024"/>
          </w:tcPr>
          <w:p>
            <w:pPr>
              <w:spacing w:after="0"/>
            </w:pPr>
            <w:r>
              <w:rPr>
                <w:sz w:val="17"/>
              </w:rPr>
              <w:t>Not analyzed</w:t>
            </w:r>
          </w:p>
        </w:tc>
        <w:tc>
          <w:tcPr>
            <w:tcW w:type="dxa" w:w="2016"/>
          </w:tcPr>
          <w:p>
            <w:pPr>
              <w:spacing w:after="0"/>
            </w:pPr>
            <w:r>
              <w:rPr>
                <w:sz w:val="17"/>
              </w:rPr>
              <w:t>No</w:t>
            </w:r>
          </w:p>
        </w:tc>
      </w:tr>
      <w:tr>
        <w:tc>
          <w:tcPr>
            <w:tcW w:type="dxa" w:w="3226"/>
          </w:tcPr>
          <w:p>
            <w:pPr>
              <w:spacing w:after="0"/>
            </w:pPr>
            <w:r>
              <w:rPr>
                <w:sz w:val="17"/>
              </w:rPr>
              <w:t>Business fleet financing</w:t>
            </w:r>
          </w:p>
        </w:tc>
        <w:tc>
          <w:tcPr>
            <w:tcW w:type="dxa" w:w="1814"/>
          </w:tcPr>
          <w:p>
            <w:pPr>
              <w:spacing w:after="0"/>
            </w:pPr>
            <w:r>
              <w:rPr>
                <w:sz w:val="17"/>
              </w:rPr>
              <w:t>Undetermined</w:t>
            </w:r>
          </w:p>
        </w:tc>
        <w:tc>
          <w:tcPr>
            <w:tcW w:type="dxa" w:w="3024"/>
          </w:tcPr>
          <w:p>
            <w:pPr>
              <w:spacing w:after="0"/>
            </w:pPr>
            <w:r>
              <w:rPr>
                <w:sz w:val="17"/>
              </w:rPr>
              <w:t>Not analyzed</w:t>
            </w:r>
          </w:p>
        </w:tc>
        <w:tc>
          <w:tcPr>
            <w:tcW w:type="dxa" w:w="2016"/>
          </w:tcPr>
          <w:p>
            <w:pPr>
              <w:spacing w:after="0"/>
            </w:pPr>
            <w:r>
              <w:rPr>
                <w:sz w:val="17"/>
              </w:rPr>
              <w:t>No</w:t>
            </w:r>
          </w:p>
        </w:tc>
      </w:tr>
      <w:tr>
        <w:tc>
          <w:tcPr>
            <w:tcW w:type="dxa" w:w="3226"/>
          </w:tcPr>
          <w:p>
            <w:pPr>
              <w:spacing w:after="0"/>
            </w:pPr>
            <w:r>
              <w:rPr>
                <w:sz w:val="17"/>
              </w:rPr>
              <w:t>Service department charge account</w:t>
            </w:r>
          </w:p>
        </w:tc>
        <w:tc>
          <w:tcPr>
            <w:tcW w:type="dxa" w:w="1814"/>
          </w:tcPr>
          <w:p>
            <w:pPr>
              <w:spacing w:after="0"/>
            </w:pPr>
            <w:r>
              <w:rPr>
                <w:sz w:val="17"/>
              </w:rPr>
              <w:t>Undetermined</w:t>
            </w:r>
          </w:p>
        </w:tc>
        <w:tc>
          <w:tcPr>
            <w:tcW w:type="dxa" w:w="3024"/>
          </w:tcPr>
          <w:p>
            <w:pPr>
              <w:spacing w:after="0"/>
            </w:pPr>
            <w:r>
              <w:rPr>
                <w:sz w:val="17"/>
              </w:rPr>
              <w:t>Not analyzed</w:t>
            </w:r>
          </w:p>
        </w:tc>
        <w:tc>
          <w:tcPr>
            <w:tcW w:type="dxa" w:w="2016"/>
          </w:tcPr>
          <w:p>
            <w:pPr>
              <w:spacing w:after="0"/>
            </w:pPr>
            <w:r>
              <w:rPr>
                <w:sz w:val="17"/>
              </w:rPr>
              <w:t>No</w:t>
            </w:r>
          </w:p>
        </w:tc>
      </w:tr>
    </w:tbl>
    <w:p>
      <w:pPr>
        <w:spacing w:after="40"/>
      </w:pPr>
    </w:p>
    <w:p>
      <w:r>
        <w:t>OPEN ITEM (intentional test gap): No periodic determination of covered accounts is documented. The methods used to open and access accounts, and previous experiences with identity theft, have not been assessed in writing.</w:t>
      </w:r>
    </w:p>
    <w:p>
      <w:pPr>
        <w:pStyle w:val="Heading1"/>
      </w:pPr>
      <w:r>
        <w:t>2. Red flags to watch for</w:t>
      </w:r>
    </w:p>
    <w:p>
      <w:r>
        <w:t>Employees opening a covered account should look for inconsistent names or addresses, altered identification documents, a credit bureau fraud alert, an address discrepancy, a customer statement that an account is unfamiliar, or a sudden request to redirect account notices. The employee records the flag in the case log without copying a full identity document into the log.</w:t>
      </w:r>
    </w:p>
    <w:p>
      <w:pPr>
        <w:pStyle w:val="ListBullet"/>
        <w:spacing w:after="20"/>
      </w:pPr>
      <w:r>
        <w:t>Alerts, notifications, or warnings from a consumer reporting agency (fraud alert, credit freeze, address discrepancy notice).</w:t>
      </w:r>
    </w:p>
    <w:p>
      <w:pPr>
        <w:pStyle w:val="ListBullet"/>
        <w:spacing w:after="20"/>
      </w:pPr>
      <w:r>
        <w:t>Suspicious documents (identification that appears altered or forged, photo or description inconsistent with the applicant).</w:t>
      </w:r>
    </w:p>
    <w:p>
      <w:pPr>
        <w:pStyle w:val="ListBullet"/>
        <w:spacing w:after="20"/>
      </w:pPr>
      <w:r>
        <w:t>Suspicious personal identifying information (address or phone inconsistent with other sources, SSN not issued or tied to another person).</w:t>
      </w:r>
    </w:p>
    <w:p>
      <w:pPr>
        <w:pStyle w:val="ListBullet"/>
        <w:spacing w:after="20"/>
      </w:pPr>
      <w:r>
        <w:t>Unusual use of, or suspicious activity related to, a covered account (sudden change of address followed by requests for new payment methods).</w:t>
      </w:r>
    </w:p>
    <w:p>
      <w:pPr>
        <w:pStyle w:val="ListBullet"/>
        <w:spacing w:after="20"/>
      </w:pPr>
      <w:r>
        <w:t>Notice from customers, victims of identity theft, law enforcement, or others about possible identity theft.</w:t>
      </w:r>
    </w:p>
    <w:p>
      <w:pPr>
        <w:pStyle w:val="Heading1"/>
      </w:pPr>
      <w:r>
        <w:t>3. Detection procedure</w:t>
      </w:r>
    </w:p>
    <w:p>
      <w:r>
        <w:t>At application intake, the finance employee compares the applicant's identification and application details and reviews any alert returned by the identity verification service. During account servicing, staff review returned mail and customer complaints. The draft does not specify how to verify a caller asking to change an address, and the current checklist has no field for recording which alert was resolved.</w:t>
      </w:r>
    </w:p>
    <w:p>
      <w:r>
        <w:t>OPEN ITEM (intentional test gap): Caller verification for address change requests is undefined. OPEN ITEM (intentional test gap): The intake checklist lacks an alert-resolution field.</w:t>
      </w:r>
    </w:p>
    <w:p>
      <w:pPr>
        <w:pStyle w:val="Heading1"/>
      </w:pPr>
      <w:r>
        <w:t>4. Response procedure</w:t>
      </w:r>
    </w:p>
    <w:p>
      <w:r>
        <w:t>When a red flag appears, the employee pauses account opening or the requested change and escalates the case to the Finance and Insurance Manager. The manager may contact the customer through a previously verified channel, request additional evidence, decline the transaction, or contact law enforcement when appropriate. The manager records the decision and reason. The draft contains no deadline for escalation or case closure.</w:t>
      </w:r>
    </w:p>
    <w:p>
      <w:pPr>
        <w:pStyle w:val="ListBullet"/>
        <w:spacing w:after="20"/>
      </w:pPr>
      <w:r>
        <w:t>Monitor the account for evidence of identity theft (draft option).</w:t>
      </w:r>
    </w:p>
    <w:p>
      <w:pPr>
        <w:pStyle w:val="ListBullet"/>
        <w:spacing w:after="20"/>
      </w:pPr>
      <w:r>
        <w:t>Contact the customer through a previously verified channel.</w:t>
      </w:r>
    </w:p>
    <w:p>
      <w:pPr>
        <w:pStyle w:val="ListBullet"/>
        <w:spacing w:after="20"/>
      </w:pPr>
      <w:r>
        <w:t>Change passwords or security codes that permit access to the account (not yet applicable to the dealer portal).</w:t>
      </w:r>
    </w:p>
    <w:p>
      <w:pPr>
        <w:pStyle w:val="ListBullet"/>
        <w:spacing w:after="20"/>
      </w:pPr>
      <w:r>
        <w:t>Decline to open a new account, or close an existing account.</w:t>
      </w:r>
    </w:p>
    <w:p>
      <w:pPr>
        <w:pStyle w:val="ListBullet"/>
        <w:spacing w:after="20"/>
      </w:pPr>
      <w:r>
        <w:t>Notify law enforcement where appropriate (no criteria defined).</w:t>
      </w:r>
    </w:p>
    <w:p>
      <w:pPr>
        <w:pStyle w:val="ListBullet"/>
        <w:spacing w:after="20"/>
      </w:pPr>
      <w:r>
        <w:t>Escalation deadline: not defined (OPEN ITEM (intentional test gap)).</w:t>
      </w:r>
    </w:p>
    <w:p>
      <w:pPr>
        <w:pStyle w:val="Heading1"/>
      </w:pPr>
      <w:r>
        <w:t>5. Service providers and training</w:t>
      </w:r>
    </w:p>
    <w:p>
      <w:r>
        <w:t>The credit application platform is a service provider involved in covered accounts. The current contract has not been reviewed for red flag detection or reporting duties. New finance staff receive verbal training; there is no training attendance log or refresher schedule.</w:t>
      </w:r>
    </w:p>
    <w:tbl>
      <w:tblPr>
        <w:tblStyle w:val="TableGrid"/>
        <w:tblW w:type="auto" w:w="0"/>
        <w:tblLayout w:type="fixed"/>
        <w:tblLook w:firstColumn="1" w:firstRow="1" w:lastColumn="0" w:lastRow="0" w:noHBand="0" w:noVBand="1" w:val="04A0"/>
      </w:tblPr>
      <w:tblGrid>
        <w:gridCol w:w="2822"/>
        <w:gridCol w:w="2722"/>
        <w:gridCol w:w="2722"/>
        <w:gridCol w:w="1814"/>
      </w:tblGrid>
      <w:tr>
        <w:tc>
          <w:tcPr>
            <w:tcW w:type="dxa" w:w="2822"/>
            <w:shd w:val="clear" w:color="auto" w:fill="E3E9F1"/>
          </w:tcPr>
          <w:p>
            <w:pPr>
              <w:spacing w:after="0"/>
            </w:pPr>
            <w:r>
              <w:rPr>
                <w:b/>
                <w:sz w:val="17"/>
              </w:rPr>
              <w:t>Service provider (fictional)</w:t>
            </w:r>
          </w:p>
        </w:tc>
        <w:tc>
          <w:tcPr>
            <w:tcW w:type="dxa" w:w="2722"/>
            <w:shd w:val="clear" w:color="auto" w:fill="E3E9F1"/>
          </w:tcPr>
          <w:p>
            <w:pPr>
              <w:spacing w:after="0"/>
            </w:pPr>
            <w:r>
              <w:rPr>
                <w:b/>
                <w:sz w:val="17"/>
              </w:rPr>
              <w:t>Activity</w:t>
            </w:r>
          </w:p>
        </w:tc>
        <w:tc>
          <w:tcPr>
            <w:tcW w:type="dxa" w:w="2722"/>
            <w:shd w:val="clear" w:color="auto" w:fill="E3E9F1"/>
          </w:tcPr>
          <w:p>
            <w:pPr>
              <w:spacing w:after="0"/>
            </w:pPr>
            <w:r>
              <w:rPr>
                <w:b/>
                <w:sz w:val="17"/>
              </w:rPr>
              <w:t>Contract reviewed for Red Flags duties</w:t>
            </w:r>
          </w:p>
        </w:tc>
        <w:tc>
          <w:tcPr>
            <w:tcW w:type="dxa" w:w="1814"/>
            <w:shd w:val="clear" w:color="auto" w:fill="E3E9F1"/>
          </w:tcPr>
          <w:p>
            <w:pPr>
              <w:spacing w:after="0"/>
            </w:pPr>
            <w:r>
              <w:rPr>
                <w:b/>
                <w:sz w:val="17"/>
              </w:rPr>
              <w:t>Evidence</w:t>
            </w:r>
          </w:p>
        </w:tc>
      </w:tr>
      <w:tr>
        <w:tc>
          <w:tcPr>
            <w:tcW w:type="dxa" w:w="2822"/>
          </w:tcPr>
          <w:p>
            <w:pPr>
              <w:spacing w:after="0"/>
            </w:pPr>
            <w:r>
              <w:rPr>
                <w:sz w:val="17"/>
              </w:rPr>
              <w:t>DealDesk Credit Apps</w:t>
            </w:r>
          </w:p>
        </w:tc>
        <w:tc>
          <w:tcPr>
            <w:tcW w:type="dxa" w:w="2722"/>
          </w:tcPr>
          <w:p>
            <w:pPr>
              <w:spacing w:after="0"/>
            </w:pPr>
            <w:r>
              <w:rPr>
                <w:sz w:val="17"/>
              </w:rPr>
              <w:t>Credit application intake</w:t>
            </w:r>
          </w:p>
        </w:tc>
        <w:tc>
          <w:tcPr>
            <w:tcW w:type="dxa" w:w="2722"/>
          </w:tcPr>
          <w:p>
            <w:pPr>
              <w:spacing w:after="0"/>
            </w:pPr>
            <w:r>
              <w:rPr>
                <w:sz w:val="17"/>
              </w:rPr>
              <w:t>No</w:t>
            </w:r>
          </w:p>
        </w:tc>
        <w:tc>
          <w:tcPr>
            <w:tcW w:type="dxa" w:w="1814"/>
          </w:tcPr>
          <w:p>
            <w:pPr>
              <w:spacing w:after="0"/>
            </w:pPr>
            <w:r>
              <w:rPr>
                <w:sz w:val="17"/>
              </w:rPr>
              <w:t>None</w:t>
            </w:r>
          </w:p>
        </w:tc>
      </w:tr>
      <w:tr>
        <w:tc>
          <w:tcPr>
            <w:tcW w:type="dxa" w:w="2822"/>
          </w:tcPr>
          <w:p>
            <w:pPr>
              <w:spacing w:after="0"/>
            </w:pPr>
            <w:r>
              <w:rPr>
                <w:sz w:val="17"/>
              </w:rPr>
              <w:t>VerifyNow ID</w:t>
            </w:r>
          </w:p>
        </w:tc>
        <w:tc>
          <w:tcPr>
            <w:tcW w:type="dxa" w:w="2722"/>
          </w:tcPr>
          <w:p>
            <w:pPr>
              <w:spacing w:after="0"/>
            </w:pPr>
            <w:r>
              <w:rPr>
                <w:sz w:val="17"/>
              </w:rPr>
              <w:t>Identity verification alerts</w:t>
            </w:r>
          </w:p>
        </w:tc>
        <w:tc>
          <w:tcPr>
            <w:tcW w:type="dxa" w:w="2722"/>
          </w:tcPr>
          <w:p>
            <w:pPr>
              <w:spacing w:after="0"/>
            </w:pPr>
            <w:r>
              <w:rPr>
                <w:sz w:val="17"/>
              </w:rPr>
              <w:t>No</w:t>
            </w:r>
          </w:p>
        </w:tc>
        <w:tc>
          <w:tcPr>
            <w:tcW w:type="dxa" w:w="1814"/>
          </w:tcPr>
          <w:p>
            <w:pPr>
              <w:spacing w:after="0"/>
            </w:pPr>
            <w:r>
              <w:rPr>
                <w:sz w:val="17"/>
              </w:rPr>
              <w:t>None</w:t>
            </w:r>
          </w:p>
        </w:tc>
      </w:tr>
      <w:tr>
        <w:tc>
          <w:tcPr>
            <w:tcW w:type="dxa" w:w="2822"/>
          </w:tcPr>
          <w:p>
            <w:pPr>
              <w:spacing w:after="0"/>
            </w:pPr>
            <w:r>
              <w:rPr>
                <w:sz w:val="17"/>
              </w:rPr>
              <w:t>Lienhold Servicing</w:t>
            </w:r>
          </w:p>
        </w:tc>
        <w:tc>
          <w:tcPr>
            <w:tcW w:type="dxa" w:w="2722"/>
          </w:tcPr>
          <w:p>
            <w:pPr>
              <w:spacing w:after="0"/>
            </w:pPr>
            <w:r>
              <w:rPr>
                <w:sz w:val="17"/>
              </w:rPr>
              <w:t>Payment servicing (proposed)</w:t>
            </w:r>
          </w:p>
        </w:tc>
        <w:tc>
          <w:tcPr>
            <w:tcW w:type="dxa" w:w="2722"/>
          </w:tcPr>
          <w:p>
            <w:pPr>
              <w:spacing w:after="0"/>
            </w:pPr>
            <w:r>
              <w:rPr>
                <w:sz w:val="17"/>
              </w:rPr>
              <w:t>No</w:t>
            </w:r>
          </w:p>
        </w:tc>
        <w:tc>
          <w:tcPr>
            <w:tcW w:type="dxa" w:w="1814"/>
          </w:tcPr>
          <w:p>
            <w:pPr>
              <w:spacing w:after="0"/>
            </w:pPr>
            <w:r>
              <w:rPr>
                <w:sz w:val="17"/>
              </w:rPr>
              <w:t>None</w:t>
            </w:r>
          </w:p>
        </w:tc>
      </w:tr>
    </w:tbl>
    <w:p>
      <w:pPr>
        <w:spacing w:after="40"/>
      </w:pPr>
    </w:p>
    <w:p>
      <w:r>
        <w:t>OPEN ITEM (intentional test gap): No oversight of service provider arrangements is documented. OPEN ITEM (intentional test gap): Training is verbal only, with no attendance log and no refresher schedule.</w:t>
      </w:r>
    </w:p>
    <w:p>
      <w:pPr>
        <w:pStyle w:val="Heading1"/>
      </w:pPr>
      <w:r>
        <w:t>6. Program administration</w:t>
      </w:r>
    </w:p>
    <w:p>
      <w:r>
        <w:t>The Finance and Insurance Manager plans to report identity theft trends to senior management annually. The board or an appropriate senior employee has not approved this draft. No annual report, program effectiveness review, or update record exists yet.</w:t>
      </w:r>
    </w:p>
    <w:p>
      <w:pPr>
        <w:pStyle w:val="Heading1"/>
      </w:pPr>
      <w:r>
        <w:t>7. Roles (draft)</w:t>
      </w:r>
    </w:p>
    <w:tbl>
      <w:tblPr>
        <w:tblStyle w:val="TableGrid"/>
        <w:tblW w:type="auto" w:w="0"/>
        <w:tblLayout w:type="fixed"/>
        <w:tblLook w:firstColumn="1" w:firstRow="1" w:lastColumn="0" w:lastRow="0" w:noHBand="0" w:noVBand="1" w:val="04A0"/>
      </w:tblPr>
      <w:tblGrid>
        <w:gridCol w:w="3024"/>
        <w:gridCol w:w="4536"/>
        <w:gridCol w:w="2520"/>
      </w:tblGrid>
      <w:tr>
        <w:tc>
          <w:tcPr>
            <w:tcW w:type="dxa" w:w="3024"/>
            <w:shd w:val="clear" w:color="auto" w:fill="E3E9F1"/>
          </w:tcPr>
          <w:p>
            <w:pPr>
              <w:spacing w:after="0"/>
            </w:pPr>
            <w:r>
              <w:rPr>
                <w:b/>
                <w:sz w:val="17"/>
              </w:rPr>
              <w:t>Role</w:t>
            </w:r>
          </w:p>
        </w:tc>
        <w:tc>
          <w:tcPr>
            <w:tcW w:type="dxa" w:w="4536"/>
            <w:shd w:val="clear" w:color="auto" w:fill="E3E9F1"/>
          </w:tcPr>
          <w:p>
            <w:pPr>
              <w:spacing w:after="0"/>
            </w:pPr>
            <w:r>
              <w:rPr>
                <w:b/>
                <w:sz w:val="17"/>
              </w:rPr>
              <w:t>Draft responsibility</w:t>
            </w:r>
          </w:p>
        </w:tc>
        <w:tc>
          <w:tcPr>
            <w:tcW w:type="dxa" w:w="2520"/>
            <w:shd w:val="clear" w:color="auto" w:fill="E3E9F1"/>
          </w:tcPr>
          <w:p>
            <w:pPr>
              <w:spacing w:after="0"/>
            </w:pPr>
            <w:r>
              <w:rPr>
                <w:b/>
                <w:sz w:val="17"/>
              </w:rPr>
              <w:t>Status</w:t>
            </w:r>
          </w:p>
        </w:tc>
      </w:tr>
      <w:tr>
        <w:tc>
          <w:tcPr>
            <w:tcW w:type="dxa" w:w="3024"/>
          </w:tcPr>
          <w:p>
            <w:pPr>
              <w:spacing w:after="0"/>
            </w:pPr>
            <w:r>
              <w:rPr>
                <w:sz w:val="17"/>
              </w:rPr>
              <w:t>Finance and Insurance Manager</w:t>
            </w:r>
          </w:p>
        </w:tc>
        <w:tc>
          <w:tcPr>
            <w:tcW w:type="dxa" w:w="4536"/>
          </w:tcPr>
          <w:p>
            <w:pPr>
              <w:spacing w:after="0"/>
            </w:pPr>
            <w:r>
              <w:rPr>
                <w:sz w:val="17"/>
              </w:rPr>
              <w:t>Owns the draft; receives escalations; plans annual report</w:t>
            </w:r>
          </w:p>
        </w:tc>
        <w:tc>
          <w:tcPr>
            <w:tcW w:type="dxa" w:w="2520"/>
          </w:tcPr>
          <w:p>
            <w:pPr>
              <w:spacing w:after="0"/>
            </w:pPr>
            <w:r>
              <w:rPr>
                <w:sz w:val="17"/>
              </w:rPr>
              <w:t>Assigned informally</w:t>
            </w:r>
          </w:p>
        </w:tc>
      </w:tr>
      <w:tr>
        <w:tc>
          <w:tcPr>
            <w:tcW w:type="dxa" w:w="3024"/>
          </w:tcPr>
          <w:p>
            <w:pPr>
              <w:spacing w:after="0"/>
            </w:pPr>
            <w:r>
              <w:rPr>
                <w:sz w:val="17"/>
              </w:rPr>
              <w:t>Finance employees</w:t>
            </w:r>
          </w:p>
        </w:tc>
        <w:tc>
          <w:tcPr>
            <w:tcW w:type="dxa" w:w="4536"/>
          </w:tcPr>
          <w:p>
            <w:pPr>
              <w:spacing w:after="0"/>
            </w:pPr>
            <w:r>
              <w:rPr>
                <w:sz w:val="17"/>
              </w:rPr>
              <w:t>Check identification and alerts at intake; log red flags</w:t>
            </w:r>
          </w:p>
        </w:tc>
        <w:tc>
          <w:tcPr>
            <w:tcW w:type="dxa" w:w="2520"/>
          </w:tcPr>
          <w:p>
            <w:pPr>
              <w:spacing w:after="0"/>
            </w:pPr>
            <w:r>
              <w:rPr>
                <w:sz w:val="17"/>
              </w:rPr>
              <w:t>Verbal instruction only</w:t>
            </w:r>
          </w:p>
        </w:tc>
      </w:tr>
      <w:tr>
        <w:tc>
          <w:tcPr>
            <w:tcW w:type="dxa" w:w="3024"/>
          </w:tcPr>
          <w:p>
            <w:pPr>
              <w:spacing w:after="0"/>
            </w:pPr>
            <w:r>
              <w:rPr>
                <w:sz w:val="17"/>
              </w:rPr>
              <w:t>Office staff</w:t>
            </w:r>
          </w:p>
        </w:tc>
        <w:tc>
          <w:tcPr>
            <w:tcW w:type="dxa" w:w="4536"/>
          </w:tcPr>
          <w:p>
            <w:pPr>
              <w:spacing w:after="0"/>
            </w:pPr>
            <w:r>
              <w:rPr>
                <w:sz w:val="17"/>
              </w:rPr>
              <w:t>Review returned mail and complaints</w:t>
            </w:r>
          </w:p>
        </w:tc>
        <w:tc>
          <w:tcPr>
            <w:tcW w:type="dxa" w:w="2520"/>
          </w:tcPr>
          <w:p>
            <w:pPr>
              <w:spacing w:after="0"/>
            </w:pPr>
            <w:r>
              <w:rPr>
                <w:sz w:val="17"/>
              </w:rPr>
              <w:t>No written instruction</w:t>
            </w:r>
          </w:p>
        </w:tc>
      </w:tr>
      <w:tr>
        <w:tc>
          <w:tcPr>
            <w:tcW w:type="dxa" w:w="3024"/>
          </w:tcPr>
          <w:p>
            <w:pPr>
              <w:spacing w:after="0"/>
            </w:pPr>
            <w:r>
              <w:rPr>
                <w:sz w:val="17"/>
              </w:rPr>
              <w:t>Board / senior employee</w:t>
            </w:r>
          </w:p>
        </w:tc>
        <w:tc>
          <w:tcPr>
            <w:tcW w:type="dxa" w:w="4536"/>
          </w:tcPr>
          <w:p>
            <w:pPr>
              <w:spacing w:after="0"/>
            </w:pPr>
            <w:r>
              <w:rPr>
                <w:sz w:val="17"/>
              </w:rPr>
              <w:t>Approve program and oversee administration</w:t>
            </w:r>
          </w:p>
        </w:tc>
        <w:tc>
          <w:tcPr>
            <w:tcW w:type="dxa" w:w="2520"/>
          </w:tcPr>
          <w:p>
            <w:pPr>
              <w:spacing w:after="0"/>
            </w:pPr>
            <w:r>
              <w:rPr>
                <w:sz w:val="17"/>
              </w:rPr>
              <w:t>Not designated</w:t>
            </w:r>
          </w:p>
        </w:tc>
      </w:tr>
      <w:tr>
        <w:tc>
          <w:tcPr>
            <w:tcW w:type="dxa" w:w="3024"/>
          </w:tcPr>
          <w:p>
            <w:pPr>
              <w:spacing w:after="0"/>
            </w:pPr>
            <w:r>
              <w:rPr>
                <w:sz w:val="17"/>
              </w:rPr>
              <w:t>Program administrator</w:t>
            </w:r>
          </w:p>
        </w:tc>
        <w:tc>
          <w:tcPr>
            <w:tcW w:type="dxa" w:w="4536"/>
          </w:tcPr>
          <w:p>
            <w:pPr>
              <w:spacing w:after="0"/>
            </w:pPr>
            <w:r>
              <w:rPr>
                <w:sz w:val="17"/>
              </w:rPr>
              <w:t>Day-to-day oversight and updates</w:t>
            </w:r>
          </w:p>
        </w:tc>
        <w:tc>
          <w:tcPr>
            <w:tcW w:type="dxa" w:w="2520"/>
          </w:tcPr>
          <w:p>
            <w:pPr>
              <w:spacing w:after="0"/>
            </w:pPr>
            <w:r>
              <w:rPr>
                <w:sz w:val="17"/>
              </w:rPr>
              <w:t>Not designated</w:t>
            </w:r>
          </w:p>
        </w:tc>
      </w:tr>
    </w:tbl>
    <w:p>
      <w:pPr>
        <w:spacing w:after="40"/>
      </w:pPr>
    </w:p>
    <w:p>
      <w:pPr>
        <w:pStyle w:val="Heading1"/>
      </w:pPr>
      <w:r>
        <w:t>8. Open items register</w:t>
      </w:r>
    </w:p>
    <w:tbl>
      <w:tblPr>
        <w:tblStyle w:val="TableGrid"/>
        <w:tblW w:type="auto" w:w="0"/>
        <w:tblLayout w:type="fixed"/>
        <w:tblLook w:firstColumn="1" w:firstRow="1" w:lastColumn="0" w:lastRow="0" w:noHBand="0" w:noVBand="1" w:val="04A0"/>
      </w:tblPr>
      <w:tblGrid>
        <w:gridCol w:w="605"/>
        <w:gridCol w:w="5443"/>
        <w:gridCol w:w="2016"/>
        <w:gridCol w:w="2016"/>
      </w:tblGrid>
      <w:tr>
        <w:tc>
          <w:tcPr>
            <w:tcW w:type="dxa" w:w="605"/>
            <w:shd w:val="clear" w:color="auto" w:fill="E3E9F1"/>
          </w:tcPr>
          <w:p>
            <w:pPr>
              <w:spacing w:after="0"/>
            </w:pPr>
            <w:r>
              <w:rPr>
                <w:b/>
                <w:sz w:val="17"/>
              </w:rPr>
              <w:t>#</w:t>
            </w:r>
          </w:p>
        </w:tc>
        <w:tc>
          <w:tcPr>
            <w:tcW w:type="dxa" w:w="5443"/>
            <w:shd w:val="clear" w:color="auto" w:fill="E3E9F1"/>
          </w:tcPr>
          <w:p>
            <w:pPr>
              <w:spacing w:after="0"/>
            </w:pPr>
            <w:r>
              <w:rPr>
                <w:b/>
                <w:sz w:val="17"/>
              </w:rPr>
              <w:t>Open item</w:t>
            </w:r>
          </w:p>
        </w:tc>
        <w:tc>
          <w:tcPr>
            <w:tcW w:type="dxa" w:w="2016"/>
            <w:shd w:val="clear" w:color="auto" w:fill="E3E9F1"/>
          </w:tcPr>
          <w:p>
            <w:pPr>
              <w:spacing w:after="0"/>
            </w:pPr>
            <w:r>
              <w:rPr>
                <w:b/>
                <w:sz w:val="17"/>
              </w:rPr>
              <w:t>Owner</w:t>
            </w:r>
          </w:p>
        </w:tc>
        <w:tc>
          <w:tcPr>
            <w:tcW w:type="dxa" w:w="2016"/>
            <w:shd w:val="clear" w:color="auto" w:fill="E3E9F1"/>
          </w:tcPr>
          <w:p>
            <w:pPr>
              <w:spacing w:after="0"/>
            </w:pPr>
            <w:r>
              <w:rPr>
                <w:b/>
                <w:sz w:val="17"/>
              </w:rPr>
              <w:t>Target date</w:t>
            </w:r>
          </w:p>
        </w:tc>
      </w:tr>
      <w:tr>
        <w:tc>
          <w:tcPr>
            <w:tcW w:type="dxa" w:w="605"/>
          </w:tcPr>
          <w:p>
            <w:pPr>
              <w:spacing w:after="0"/>
            </w:pPr>
            <w:r>
              <w:rPr>
                <w:sz w:val="17"/>
              </w:rPr>
              <w:t>1</w:t>
            </w:r>
          </w:p>
        </w:tc>
        <w:tc>
          <w:tcPr>
            <w:tcW w:type="dxa" w:w="5443"/>
          </w:tcPr>
          <w:p>
            <w:pPr>
              <w:spacing w:after="0"/>
            </w:pPr>
            <w:r>
              <w:rPr>
                <w:sz w:val="17"/>
              </w:rPr>
              <w:t>Obtain approval of the initial written program</w:t>
            </w:r>
          </w:p>
        </w:tc>
        <w:tc>
          <w:tcPr>
            <w:tcW w:type="dxa" w:w="2016"/>
          </w:tcPr>
          <w:p>
            <w:pPr>
              <w:spacing w:after="0"/>
            </w:pPr>
            <w:r>
              <w:rPr>
                <w:sz w:val="17"/>
              </w:rPr>
              <w:t>Unassigned</w:t>
            </w:r>
          </w:p>
        </w:tc>
        <w:tc>
          <w:tcPr>
            <w:tcW w:type="dxa" w:w="2016"/>
          </w:tcPr>
          <w:p>
            <w:pPr>
              <w:spacing w:after="0"/>
            </w:pPr>
            <w:r>
              <w:rPr>
                <w:sz w:val="17"/>
              </w:rPr>
              <w:t>Not set</w:t>
            </w:r>
          </w:p>
        </w:tc>
      </w:tr>
      <w:tr>
        <w:tc>
          <w:tcPr>
            <w:tcW w:type="dxa" w:w="605"/>
          </w:tcPr>
          <w:p>
            <w:pPr>
              <w:spacing w:after="0"/>
            </w:pPr>
            <w:r>
              <w:rPr>
                <w:sz w:val="17"/>
              </w:rPr>
              <w:t>2</w:t>
            </w:r>
          </w:p>
        </w:tc>
        <w:tc>
          <w:tcPr>
            <w:tcW w:type="dxa" w:w="5443"/>
          </w:tcPr>
          <w:p>
            <w:pPr>
              <w:spacing w:after="0"/>
            </w:pPr>
            <w:r>
              <w:rPr>
                <w:sz w:val="17"/>
              </w:rPr>
              <w:t>Document covered-account risk assessment</w:t>
            </w:r>
          </w:p>
        </w:tc>
        <w:tc>
          <w:tcPr>
            <w:tcW w:type="dxa" w:w="2016"/>
          </w:tcPr>
          <w:p>
            <w:pPr>
              <w:spacing w:after="0"/>
            </w:pPr>
            <w:r>
              <w:rPr>
                <w:sz w:val="17"/>
              </w:rPr>
              <w:t>F&amp;I Manager</w:t>
            </w:r>
          </w:p>
        </w:tc>
        <w:tc>
          <w:tcPr>
            <w:tcW w:type="dxa" w:w="2016"/>
          </w:tcPr>
          <w:p>
            <w:pPr>
              <w:spacing w:after="0"/>
            </w:pPr>
            <w:r>
              <w:rPr>
                <w:sz w:val="17"/>
              </w:rPr>
              <w:t>Not set</w:t>
            </w:r>
          </w:p>
        </w:tc>
      </w:tr>
      <w:tr>
        <w:tc>
          <w:tcPr>
            <w:tcW w:type="dxa" w:w="605"/>
          </w:tcPr>
          <w:p>
            <w:pPr>
              <w:spacing w:after="0"/>
            </w:pPr>
            <w:r>
              <w:rPr>
                <w:sz w:val="17"/>
              </w:rPr>
              <w:t>3</w:t>
            </w:r>
          </w:p>
        </w:tc>
        <w:tc>
          <w:tcPr>
            <w:tcW w:type="dxa" w:w="5443"/>
          </w:tcPr>
          <w:p>
            <w:pPr>
              <w:spacing w:after="0"/>
            </w:pPr>
            <w:r>
              <w:rPr>
                <w:sz w:val="17"/>
              </w:rPr>
              <w:t>Define caller verification for address changes</w:t>
            </w:r>
          </w:p>
        </w:tc>
        <w:tc>
          <w:tcPr>
            <w:tcW w:type="dxa" w:w="2016"/>
          </w:tcPr>
          <w:p>
            <w:pPr>
              <w:spacing w:after="0"/>
            </w:pPr>
            <w:r>
              <w:rPr>
                <w:sz w:val="17"/>
              </w:rPr>
              <w:t>Unassigned</w:t>
            </w:r>
          </w:p>
        </w:tc>
        <w:tc>
          <w:tcPr>
            <w:tcW w:type="dxa" w:w="2016"/>
          </w:tcPr>
          <w:p>
            <w:pPr>
              <w:spacing w:after="0"/>
            </w:pPr>
            <w:r>
              <w:rPr>
                <w:sz w:val="17"/>
              </w:rPr>
              <w:t>Not set</w:t>
            </w:r>
          </w:p>
        </w:tc>
      </w:tr>
      <w:tr>
        <w:tc>
          <w:tcPr>
            <w:tcW w:type="dxa" w:w="605"/>
          </w:tcPr>
          <w:p>
            <w:pPr>
              <w:spacing w:after="0"/>
            </w:pPr>
            <w:r>
              <w:rPr>
                <w:sz w:val="17"/>
              </w:rPr>
              <w:t>4</w:t>
            </w:r>
          </w:p>
        </w:tc>
        <w:tc>
          <w:tcPr>
            <w:tcW w:type="dxa" w:w="5443"/>
          </w:tcPr>
          <w:p>
            <w:pPr>
              <w:spacing w:after="0"/>
            </w:pPr>
            <w:r>
              <w:rPr>
                <w:sz w:val="17"/>
              </w:rPr>
              <w:t>Add alert-resolution field to intake checklist</w:t>
            </w:r>
          </w:p>
        </w:tc>
        <w:tc>
          <w:tcPr>
            <w:tcW w:type="dxa" w:w="2016"/>
          </w:tcPr>
          <w:p>
            <w:pPr>
              <w:spacing w:after="0"/>
            </w:pPr>
            <w:r>
              <w:rPr>
                <w:sz w:val="17"/>
              </w:rPr>
              <w:t>Unassigned</w:t>
            </w:r>
          </w:p>
        </w:tc>
        <w:tc>
          <w:tcPr>
            <w:tcW w:type="dxa" w:w="2016"/>
          </w:tcPr>
          <w:p>
            <w:pPr>
              <w:spacing w:after="0"/>
            </w:pPr>
            <w:r>
              <w:rPr>
                <w:sz w:val="17"/>
              </w:rPr>
              <w:t>Not set</w:t>
            </w:r>
          </w:p>
        </w:tc>
      </w:tr>
      <w:tr>
        <w:tc>
          <w:tcPr>
            <w:tcW w:type="dxa" w:w="605"/>
          </w:tcPr>
          <w:p>
            <w:pPr>
              <w:spacing w:after="0"/>
            </w:pPr>
            <w:r>
              <w:rPr>
                <w:sz w:val="17"/>
              </w:rPr>
              <w:t>5</w:t>
            </w:r>
          </w:p>
        </w:tc>
        <w:tc>
          <w:tcPr>
            <w:tcW w:type="dxa" w:w="5443"/>
          </w:tcPr>
          <w:p>
            <w:pPr>
              <w:spacing w:after="0"/>
            </w:pPr>
            <w:r>
              <w:rPr>
                <w:sz w:val="17"/>
              </w:rPr>
              <w:t>Set escalation and case-closure deadlines</w:t>
            </w:r>
          </w:p>
        </w:tc>
        <w:tc>
          <w:tcPr>
            <w:tcW w:type="dxa" w:w="2016"/>
          </w:tcPr>
          <w:p>
            <w:pPr>
              <w:spacing w:after="0"/>
            </w:pPr>
            <w:r>
              <w:rPr>
                <w:sz w:val="17"/>
              </w:rPr>
              <w:t>Unassigned</w:t>
            </w:r>
          </w:p>
        </w:tc>
        <w:tc>
          <w:tcPr>
            <w:tcW w:type="dxa" w:w="2016"/>
          </w:tcPr>
          <w:p>
            <w:pPr>
              <w:spacing w:after="0"/>
            </w:pPr>
            <w:r>
              <w:rPr>
                <w:sz w:val="17"/>
              </w:rPr>
              <w:t>Not set</w:t>
            </w:r>
          </w:p>
        </w:tc>
      </w:tr>
      <w:tr>
        <w:tc>
          <w:tcPr>
            <w:tcW w:type="dxa" w:w="605"/>
          </w:tcPr>
          <w:p>
            <w:pPr>
              <w:spacing w:after="0"/>
            </w:pPr>
            <w:r>
              <w:rPr>
                <w:sz w:val="17"/>
              </w:rPr>
              <w:t>6</w:t>
            </w:r>
          </w:p>
        </w:tc>
        <w:tc>
          <w:tcPr>
            <w:tcW w:type="dxa" w:w="5443"/>
          </w:tcPr>
          <w:p>
            <w:pPr>
              <w:spacing w:after="0"/>
            </w:pPr>
            <w:r>
              <w:rPr>
                <w:sz w:val="17"/>
              </w:rPr>
              <w:t>Review service provider contracts for Red Flags duties</w:t>
            </w:r>
          </w:p>
        </w:tc>
        <w:tc>
          <w:tcPr>
            <w:tcW w:type="dxa" w:w="2016"/>
          </w:tcPr>
          <w:p>
            <w:pPr>
              <w:spacing w:after="0"/>
            </w:pPr>
            <w:r>
              <w:rPr>
                <w:sz w:val="17"/>
              </w:rPr>
              <w:t>Unassigned</w:t>
            </w:r>
          </w:p>
        </w:tc>
        <w:tc>
          <w:tcPr>
            <w:tcW w:type="dxa" w:w="2016"/>
          </w:tcPr>
          <w:p>
            <w:pPr>
              <w:spacing w:after="0"/>
            </w:pPr>
            <w:r>
              <w:rPr>
                <w:sz w:val="17"/>
              </w:rPr>
              <w:t>Not set</w:t>
            </w:r>
          </w:p>
        </w:tc>
      </w:tr>
      <w:tr>
        <w:tc>
          <w:tcPr>
            <w:tcW w:type="dxa" w:w="605"/>
          </w:tcPr>
          <w:p>
            <w:pPr>
              <w:spacing w:after="0"/>
            </w:pPr>
            <w:r>
              <w:rPr>
                <w:sz w:val="17"/>
              </w:rPr>
              <w:t>7</w:t>
            </w:r>
          </w:p>
        </w:tc>
        <w:tc>
          <w:tcPr>
            <w:tcW w:type="dxa" w:w="5443"/>
          </w:tcPr>
          <w:p>
            <w:pPr>
              <w:spacing w:after="0"/>
            </w:pPr>
            <w:r>
              <w:rPr>
                <w:sz w:val="17"/>
              </w:rPr>
              <w:t>Create training attendance log and refresher schedule</w:t>
            </w:r>
          </w:p>
        </w:tc>
        <w:tc>
          <w:tcPr>
            <w:tcW w:type="dxa" w:w="2016"/>
          </w:tcPr>
          <w:p>
            <w:pPr>
              <w:spacing w:after="0"/>
            </w:pPr>
            <w:r>
              <w:rPr>
                <w:sz w:val="17"/>
              </w:rPr>
              <w:t>Unassigned</w:t>
            </w:r>
          </w:p>
        </w:tc>
        <w:tc>
          <w:tcPr>
            <w:tcW w:type="dxa" w:w="2016"/>
          </w:tcPr>
          <w:p>
            <w:pPr>
              <w:spacing w:after="0"/>
            </w:pPr>
            <w:r>
              <w:rPr>
                <w:sz w:val="17"/>
              </w:rPr>
              <w:t>Not set</w:t>
            </w:r>
          </w:p>
        </w:tc>
      </w:tr>
      <w:tr>
        <w:tc>
          <w:tcPr>
            <w:tcW w:type="dxa" w:w="605"/>
          </w:tcPr>
          <w:p>
            <w:pPr>
              <w:spacing w:after="0"/>
            </w:pPr>
            <w:r>
              <w:rPr>
                <w:sz w:val="17"/>
              </w:rPr>
              <w:t>8</w:t>
            </w:r>
          </w:p>
        </w:tc>
        <w:tc>
          <w:tcPr>
            <w:tcW w:type="dxa" w:w="5443"/>
          </w:tcPr>
          <w:p>
            <w:pPr>
              <w:spacing w:after="0"/>
            </w:pPr>
            <w:r>
              <w:rPr>
                <w:sz w:val="17"/>
              </w:rPr>
              <w:t>Schedule periodic program update and annual report</w:t>
            </w:r>
          </w:p>
        </w:tc>
        <w:tc>
          <w:tcPr>
            <w:tcW w:type="dxa" w:w="2016"/>
          </w:tcPr>
          <w:p>
            <w:pPr>
              <w:spacing w:after="0"/>
            </w:pPr>
            <w:r>
              <w:rPr>
                <w:sz w:val="17"/>
              </w:rPr>
              <w:t>F&amp;I Manager</w:t>
            </w:r>
          </w:p>
        </w:tc>
        <w:tc>
          <w:tcPr>
            <w:tcW w:type="dxa" w:w="2016"/>
          </w:tcPr>
          <w:p>
            <w:pPr>
              <w:spacing w:after="0"/>
            </w:pPr>
            <w:r>
              <w:rPr>
                <w:sz w:val="17"/>
              </w:rPr>
              <w:t>Not set</w:t>
            </w:r>
          </w:p>
        </w:tc>
      </w:tr>
    </w:tbl>
    <w:p>
      <w:pPr>
        <w:spacing w:after="40"/>
      </w:pPr>
    </w:p>
    <w:p>
      <w:pPr>
        <w:pStyle w:val="Heading1"/>
      </w:pPr>
      <w:r>
        <w:t>9. Glossary</w:t>
      </w:r>
    </w:p>
    <w:tbl>
      <w:tblPr>
        <w:tblStyle w:val="TableGrid"/>
        <w:tblW w:type="auto" w:w="0"/>
        <w:tblLayout w:type="fixed"/>
        <w:tblLook w:firstColumn="1" w:firstRow="1" w:lastColumn="0" w:lastRow="0" w:noHBand="0" w:noVBand="1" w:val="04A0"/>
      </w:tblPr>
      <w:tblGrid>
        <w:gridCol w:w="2520"/>
        <w:gridCol w:w="7560"/>
      </w:tblGrid>
      <w:tr>
        <w:tc>
          <w:tcPr>
            <w:tcW w:type="dxa" w:w="2520"/>
            <w:shd w:val="clear" w:color="auto" w:fill="E3E9F1"/>
          </w:tcPr>
          <w:p>
            <w:pPr>
              <w:spacing w:after="0"/>
            </w:pPr>
            <w:r>
              <w:rPr>
                <w:b/>
                <w:sz w:val="17"/>
              </w:rPr>
              <w:t>Term</w:t>
            </w:r>
          </w:p>
        </w:tc>
        <w:tc>
          <w:tcPr>
            <w:tcW w:type="dxa" w:w="7560"/>
            <w:shd w:val="clear" w:color="auto" w:fill="E3E9F1"/>
          </w:tcPr>
          <w:p>
            <w:pPr>
              <w:spacing w:after="0"/>
            </w:pPr>
            <w:r>
              <w:rPr>
                <w:b/>
                <w:sz w:val="17"/>
              </w:rPr>
              <w:t>Meaning in this draft</w:t>
            </w:r>
          </w:p>
        </w:tc>
      </w:tr>
      <w:tr>
        <w:tc>
          <w:tcPr>
            <w:tcW w:type="dxa" w:w="2520"/>
          </w:tcPr>
          <w:p>
            <w:pPr>
              <w:spacing w:after="0"/>
            </w:pPr>
            <w:r>
              <w:rPr>
                <w:sz w:val="17"/>
              </w:rPr>
              <w:t>Covered account</w:t>
            </w:r>
          </w:p>
        </w:tc>
        <w:tc>
          <w:tcPr>
            <w:tcW w:type="dxa" w:w="7560"/>
          </w:tcPr>
          <w:p>
            <w:pPr>
              <w:spacing w:after="0"/>
            </w:pPr>
            <w:r>
              <w:rPr>
                <w:sz w:val="17"/>
              </w:rPr>
              <w:t>A consumer account primarily for personal, family, or household purposes that involves multiple payments or transactions.</w:t>
            </w:r>
          </w:p>
        </w:tc>
      </w:tr>
      <w:tr>
        <w:tc>
          <w:tcPr>
            <w:tcW w:type="dxa" w:w="2520"/>
          </w:tcPr>
          <w:p>
            <w:pPr>
              <w:spacing w:after="0"/>
            </w:pPr>
            <w:r>
              <w:rPr>
                <w:sz w:val="17"/>
              </w:rPr>
              <w:t>Red flag</w:t>
            </w:r>
          </w:p>
        </w:tc>
        <w:tc>
          <w:tcPr>
            <w:tcW w:type="dxa" w:w="7560"/>
          </w:tcPr>
          <w:p>
            <w:pPr>
              <w:spacing w:after="0"/>
            </w:pPr>
            <w:r>
              <w:rPr>
                <w:sz w:val="17"/>
              </w:rPr>
              <w:t>A pattern, practice, or specific activity that indicates the possible existence of identity theft.</w:t>
            </w:r>
          </w:p>
        </w:tc>
      </w:tr>
      <w:tr>
        <w:tc>
          <w:tcPr>
            <w:tcW w:type="dxa" w:w="2520"/>
          </w:tcPr>
          <w:p>
            <w:pPr>
              <w:spacing w:after="0"/>
            </w:pPr>
            <w:r>
              <w:rPr>
                <w:sz w:val="17"/>
              </w:rPr>
              <w:t>Identity theft</w:t>
            </w:r>
          </w:p>
        </w:tc>
        <w:tc>
          <w:tcPr>
            <w:tcW w:type="dxa" w:w="7560"/>
          </w:tcPr>
          <w:p>
            <w:pPr>
              <w:spacing w:after="0"/>
            </w:pPr>
            <w:r>
              <w:rPr>
                <w:sz w:val="17"/>
              </w:rPr>
              <w:t>Fraud committed or attempted using identifying information of another person without authority.</w:t>
            </w:r>
          </w:p>
        </w:tc>
      </w:tr>
      <w:tr>
        <w:tc>
          <w:tcPr>
            <w:tcW w:type="dxa" w:w="2520"/>
          </w:tcPr>
          <w:p>
            <w:pPr>
              <w:spacing w:after="0"/>
            </w:pPr>
            <w:r>
              <w:rPr>
                <w:sz w:val="17"/>
              </w:rPr>
              <w:t>Service provider</w:t>
            </w:r>
          </w:p>
        </w:tc>
        <w:tc>
          <w:tcPr>
            <w:tcW w:type="dxa" w:w="7560"/>
          </w:tcPr>
          <w:p>
            <w:pPr>
              <w:spacing w:after="0"/>
            </w:pPr>
            <w:r>
              <w:rPr>
                <w:sz w:val="17"/>
              </w:rPr>
              <w:t>A person that provides a service directly to the company in connection with covered accounts.</w:t>
            </w:r>
          </w:p>
        </w:tc>
      </w:tr>
    </w:tbl>
    <w:p>
      <w:pPr>
        <w:spacing w:after="40"/>
      </w:pPr>
    </w:p>
    <w:p>
      <w:pPr>
        <w:pStyle w:val="Heading1"/>
      </w:pPr>
      <w:r>
        <w:t>Appendix A - Red flag catalog (draft)</w:t>
      </w:r>
    </w:p>
    <w:tbl>
      <w:tblPr>
        <w:tblStyle w:val="TableGrid"/>
        <w:tblW w:type="auto" w:w="0"/>
        <w:tblLayout w:type="fixed"/>
        <w:tblLook w:firstColumn="1" w:firstRow="1" w:lastColumn="0" w:lastRow="0" w:noHBand="0" w:noVBand="1" w:val="04A0"/>
      </w:tblPr>
      <w:tblGrid>
        <w:gridCol w:w="1814"/>
        <w:gridCol w:w="4234"/>
        <w:gridCol w:w="2218"/>
        <w:gridCol w:w="1814"/>
      </w:tblGrid>
      <w:tr>
        <w:tc>
          <w:tcPr>
            <w:tcW w:type="dxa" w:w="1814"/>
            <w:shd w:val="clear" w:color="auto" w:fill="E3E9F1"/>
          </w:tcPr>
          <w:p>
            <w:pPr>
              <w:spacing w:after="0"/>
            </w:pPr>
            <w:r>
              <w:rPr>
                <w:b/>
                <w:sz w:val="17"/>
              </w:rPr>
              <w:t>Category</w:t>
            </w:r>
          </w:p>
        </w:tc>
        <w:tc>
          <w:tcPr>
            <w:tcW w:type="dxa" w:w="4234"/>
            <w:shd w:val="clear" w:color="auto" w:fill="E3E9F1"/>
          </w:tcPr>
          <w:p>
            <w:pPr>
              <w:spacing w:after="0"/>
            </w:pPr>
            <w:r>
              <w:rPr>
                <w:b/>
                <w:sz w:val="17"/>
              </w:rPr>
              <w:t>Example red flag</w:t>
            </w:r>
          </w:p>
        </w:tc>
        <w:tc>
          <w:tcPr>
            <w:tcW w:type="dxa" w:w="2218"/>
            <w:shd w:val="clear" w:color="auto" w:fill="E3E9F1"/>
          </w:tcPr>
          <w:p>
            <w:pPr>
              <w:spacing w:after="0"/>
            </w:pPr>
            <w:r>
              <w:rPr>
                <w:b/>
                <w:sz w:val="17"/>
              </w:rPr>
              <w:t>Detection point</w:t>
            </w:r>
          </w:p>
        </w:tc>
        <w:tc>
          <w:tcPr>
            <w:tcW w:type="dxa" w:w="1814"/>
            <w:shd w:val="clear" w:color="auto" w:fill="E3E9F1"/>
          </w:tcPr>
          <w:p>
            <w:pPr>
              <w:spacing w:after="0"/>
            </w:pPr>
            <w:r>
              <w:rPr>
                <w:b/>
                <w:sz w:val="17"/>
              </w:rPr>
              <w:t>Written response?</w:t>
            </w:r>
          </w:p>
        </w:tc>
      </w:tr>
      <w:tr>
        <w:tc>
          <w:tcPr>
            <w:tcW w:type="dxa" w:w="1814"/>
          </w:tcPr>
          <w:p>
            <w:pPr>
              <w:spacing w:after="0"/>
            </w:pPr>
            <w:r>
              <w:rPr>
                <w:sz w:val="17"/>
              </w:rPr>
              <w:t>CRA alert</w:t>
            </w:r>
          </w:p>
        </w:tc>
        <w:tc>
          <w:tcPr>
            <w:tcW w:type="dxa" w:w="4234"/>
          </w:tcPr>
          <w:p>
            <w:pPr>
              <w:spacing w:after="0"/>
            </w:pPr>
            <w:r>
              <w:rPr>
                <w:sz w:val="17"/>
              </w:rPr>
              <w:t>Fraud or active-duty alert on credit report</w:t>
            </w:r>
          </w:p>
        </w:tc>
        <w:tc>
          <w:tcPr>
            <w:tcW w:type="dxa" w:w="2218"/>
          </w:tcPr>
          <w:p>
            <w:pPr>
              <w:spacing w:after="0"/>
            </w:pPr>
            <w:r>
              <w:rPr>
                <w:sz w:val="17"/>
              </w:rPr>
              <w:t>Application intake</w:t>
            </w:r>
          </w:p>
        </w:tc>
        <w:tc>
          <w:tcPr>
            <w:tcW w:type="dxa" w:w="1814"/>
          </w:tcPr>
          <w:p>
            <w:pPr>
              <w:spacing w:after="0"/>
            </w:pPr>
            <w:r>
              <w:rPr>
                <w:sz w:val="17"/>
              </w:rPr>
              <w:t>Partial</w:t>
            </w:r>
          </w:p>
        </w:tc>
      </w:tr>
      <w:tr>
        <w:tc>
          <w:tcPr>
            <w:tcW w:type="dxa" w:w="1814"/>
          </w:tcPr>
          <w:p>
            <w:pPr>
              <w:spacing w:after="0"/>
            </w:pPr>
            <w:r>
              <w:rPr>
                <w:sz w:val="17"/>
              </w:rPr>
              <w:t>CRA alert</w:t>
            </w:r>
          </w:p>
        </w:tc>
        <w:tc>
          <w:tcPr>
            <w:tcW w:type="dxa" w:w="4234"/>
          </w:tcPr>
          <w:p>
            <w:pPr>
              <w:spacing w:after="0"/>
            </w:pPr>
            <w:r>
              <w:rPr>
                <w:sz w:val="17"/>
              </w:rPr>
              <w:t>Notice of address discrepancy</w:t>
            </w:r>
          </w:p>
        </w:tc>
        <w:tc>
          <w:tcPr>
            <w:tcW w:type="dxa" w:w="2218"/>
          </w:tcPr>
          <w:p>
            <w:pPr>
              <w:spacing w:after="0"/>
            </w:pPr>
            <w:r>
              <w:rPr>
                <w:sz w:val="17"/>
              </w:rPr>
              <w:t>Application intake</w:t>
            </w:r>
          </w:p>
        </w:tc>
        <w:tc>
          <w:tcPr>
            <w:tcW w:type="dxa" w:w="1814"/>
          </w:tcPr>
          <w:p>
            <w:pPr>
              <w:spacing w:after="0"/>
            </w:pPr>
            <w:r>
              <w:rPr>
                <w:sz w:val="17"/>
              </w:rPr>
              <w:t>Partial</w:t>
            </w:r>
          </w:p>
        </w:tc>
      </w:tr>
      <w:tr>
        <w:tc>
          <w:tcPr>
            <w:tcW w:type="dxa" w:w="1814"/>
          </w:tcPr>
          <w:p>
            <w:pPr>
              <w:spacing w:after="0"/>
            </w:pPr>
            <w:r>
              <w:rPr>
                <w:sz w:val="17"/>
              </w:rPr>
              <w:t>Documents</w:t>
            </w:r>
          </w:p>
        </w:tc>
        <w:tc>
          <w:tcPr>
            <w:tcW w:type="dxa" w:w="4234"/>
          </w:tcPr>
          <w:p>
            <w:pPr>
              <w:spacing w:after="0"/>
            </w:pPr>
            <w:r>
              <w:rPr>
                <w:sz w:val="17"/>
              </w:rPr>
              <w:t>Identification appears altered or forged</w:t>
            </w:r>
          </w:p>
        </w:tc>
        <w:tc>
          <w:tcPr>
            <w:tcW w:type="dxa" w:w="2218"/>
          </w:tcPr>
          <w:p>
            <w:pPr>
              <w:spacing w:after="0"/>
            </w:pPr>
            <w:r>
              <w:rPr>
                <w:sz w:val="17"/>
              </w:rPr>
              <w:t>Application intake</w:t>
            </w:r>
          </w:p>
        </w:tc>
        <w:tc>
          <w:tcPr>
            <w:tcW w:type="dxa" w:w="1814"/>
          </w:tcPr>
          <w:p>
            <w:pPr>
              <w:spacing w:after="0"/>
            </w:pPr>
            <w:r>
              <w:rPr>
                <w:sz w:val="17"/>
              </w:rPr>
              <w:t>Partial</w:t>
            </w:r>
          </w:p>
        </w:tc>
      </w:tr>
      <w:tr>
        <w:tc>
          <w:tcPr>
            <w:tcW w:type="dxa" w:w="1814"/>
          </w:tcPr>
          <w:p>
            <w:pPr>
              <w:spacing w:after="0"/>
            </w:pPr>
            <w:r>
              <w:rPr>
                <w:sz w:val="17"/>
              </w:rPr>
              <w:t>Documents</w:t>
            </w:r>
          </w:p>
        </w:tc>
        <w:tc>
          <w:tcPr>
            <w:tcW w:type="dxa" w:w="4234"/>
          </w:tcPr>
          <w:p>
            <w:pPr>
              <w:spacing w:after="0"/>
            </w:pPr>
            <w:r>
              <w:rPr>
                <w:sz w:val="17"/>
              </w:rPr>
              <w:t>Photo inconsistent with applicant</w:t>
            </w:r>
          </w:p>
        </w:tc>
        <w:tc>
          <w:tcPr>
            <w:tcW w:type="dxa" w:w="2218"/>
          </w:tcPr>
          <w:p>
            <w:pPr>
              <w:spacing w:after="0"/>
            </w:pPr>
            <w:r>
              <w:rPr>
                <w:sz w:val="17"/>
              </w:rPr>
              <w:t>Application intake</w:t>
            </w:r>
          </w:p>
        </w:tc>
        <w:tc>
          <w:tcPr>
            <w:tcW w:type="dxa" w:w="1814"/>
          </w:tcPr>
          <w:p>
            <w:pPr>
              <w:spacing w:after="0"/>
            </w:pPr>
            <w:r>
              <w:rPr>
                <w:sz w:val="17"/>
              </w:rPr>
              <w:t>Partial</w:t>
            </w:r>
          </w:p>
        </w:tc>
      </w:tr>
      <w:tr>
        <w:tc>
          <w:tcPr>
            <w:tcW w:type="dxa" w:w="1814"/>
          </w:tcPr>
          <w:p>
            <w:pPr>
              <w:spacing w:after="0"/>
            </w:pPr>
            <w:r>
              <w:rPr>
                <w:sz w:val="17"/>
              </w:rPr>
              <w:t>Identifying info</w:t>
            </w:r>
          </w:p>
        </w:tc>
        <w:tc>
          <w:tcPr>
            <w:tcW w:type="dxa" w:w="4234"/>
          </w:tcPr>
          <w:p>
            <w:pPr>
              <w:spacing w:after="0"/>
            </w:pPr>
            <w:r>
              <w:rPr>
                <w:sz w:val="17"/>
              </w:rPr>
              <w:t>SSN matches another applicant</w:t>
            </w:r>
          </w:p>
        </w:tc>
        <w:tc>
          <w:tcPr>
            <w:tcW w:type="dxa" w:w="2218"/>
          </w:tcPr>
          <w:p>
            <w:pPr>
              <w:spacing w:after="0"/>
            </w:pPr>
            <w:r>
              <w:rPr>
                <w:sz w:val="17"/>
              </w:rPr>
              <w:t>Verification service</w:t>
            </w:r>
          </w:p>
        </w:tc>
        <w:tc>
          <w:tcPr>
            <w:tcW w:type="dxa" w:w="1814"/>
          </w:tcPr>
          <w:p>
            <w:pPr>
              <w:spacing w:after="0"/>
            </w:pPr>
            <w:r>
              <w:rPr>
                <w:sz w:val="17"/>
              </w:rPr>
              <w:t>No</w:t>
            </w:r>
          </w:p>
        </w:tc>
      </w:tr>
      <w:tr>
        <w:tc>
          <w:tcPr>
            <w:tcW w:type="dxa" w:w="1814"/>
          </w:tcPr>
          <w:p>
            <w:pPr>
              <w:spacing w:after="0"/>
            </w:pPr>
            <w:r>
              <w:rPr>
                <w:sz w:val="17"/>
              </w:rPr>
              <w:t>Identifying info</w:t>
            </w:r>
          </w:p>
        </w:tc>
        <w:tc>
          <w:tcPr>
            <w:tcW w:type="dxa" w:w="4234"/>
          </w:tcPr>
          <w:p>
            <w:pPr>
              <w:spacing w:after="0"/>
            </w:pPr>
            <w:r>
              <w:rPr>
                <w:sz w:val="17"/>
              </w:rPr>
              <w:t>Phone number is invalid or a pager or answering service</w:t>
            </w:r>
          </w:p>
        </w:tc>
        <w:tc>
          <w:tcPr>
            <w:tcW w:type="dxa" w:w="2218"/>
          </w:tcPr>
          <w:p>
            <w:pPr>
              <w:spacing w:after="0"/>
            </w:pPr>
            <w:r>
              <w:rPr>
                <w:sz w:val="17"/>
              </w:rPr>
              <w:t>Verification service</w:t>
            </w:r>
          </w:p>
        </w:tc>
        <w:tc>
          <w:tcPr>
            <w:tcW w:type="dxa" w:w="1814"/>
          </w:tcPr>
          <w:p>
            <w:pPr>
              <w:spacing w:after="0"/>
            </w:pPr>
            <w:r>
              <w:rPr>
                <w:sz w:val="17"/>
              </w:rPr>
              <w:t>No</w:t>
            </w:r>
          </w:p>
        </w:tc>
      </w:tr>
      <w:tr>
        <w:tc>
          <w:tcPr>
            <w:tcW w:type="dxa" w:w="1814"/>
          </w:tcPr>
          <w:p>
            <w:pPr>
              <w:spacing w:after="0"/>
            </w:pPr>
            <w:r>
              <w:rPr>
                <w:sz w:val="17"/>
              </w:rPr>
              <w:t>Account activity</w:t>
            </w:r>
          </w:p>
        </w:tc>
        <w:tc>
          <w:tcPr>
            <w:tcW w:type="dxa" w:w="4234"/>
          </w:tcPr>
          <w:p>
            <w:pPr>
              <w:spacing w:after="0"/>
            </w:pPr>
            <w:r>
              <w:rPr>
                <w:sz w:val="17"/>
              </w:rPr>
              <w:t>Change of address followed by request for added authorized users</w:t>
            </w:r>
          </w:p>
        </w:tc>
        <w:tc>
          <w:tcPr>
            <w:tcW w:type="dxa" w:w="2218"/>
          </w:tcPr>
          <w:p>
            <w:pPr>
              <w:spacing w:after="0"/>
            </w:pPr>
            <w:r>
              <w:rPr>
                <w:sz w:val="17"/>
              </w:rPr>
              <w:t>Servicing</w:t>
            </w:r>
          </w:p>
        </w:tc>
        <w:tc>
          <w:tcPr>
            <w:tcW w:type="dxa" w:w="1814"/>
          </w:tcPr>
          <w:p>
            <w:pPr>
              <w:spacing w:after="0"/>
            </w:pPr>
            <w:r>
              <w:rPr>
                <w:sz w:val="17"/>
              </w:rPr>
              <w:t>No</w:t>
            </w:r>
          </w:p>
        </w:tc>
      </w:tr>
      <w:tr>
        <w:tc>
          <w:tcPr>
            <w:tcW w:type="dxa" w:w="1814"/>
          </w:tcPr>
          <w:p>
            <w:pPr>
              <w:spacing w:after="0"/>
            </w:pPr>
            <w:r>
              <w:rPr>
                <w:sz w:val="17"/>
              </w:rPr>
              <w:t>Account activity</w:t>
            </w:r>
          </w:p>
        </w:tc>
        <w:tc>
          <w:tcPr>
            <w:tcW w:type="dxa" w:w="4234"/>
          </w:tcPr>
          <w:p>
            <w:pPr>
              <w:spacing w:after="0"/>
            </w:pPr>
            <w:r>
              <w:rPr>
                <w:sz w:val="17"/>
              </w:rPr>
              <w:t>Mail repeatedly returned despite active payments</w:t>
            </w:r>
          </w:p>
        </w:tc>
        <w:tc>
          <w:tcPr>
            <w:tcW w:type="dxa" w:w="2218"/>
          </w:tcPr>
          <w:p>
            <w:pPr>
              <w:spacing w:after="0"/>
            </w:pPr>
            <w:r>
              <w:rPr>
                <w:sz w:val="17"/>
              </w:rPr>
              <w:t>Servicing</w:t>
            </w:r>
          </w:p>
        </w:tc>
        <w:tc>
          <w:tcPr>
            <w:tcW w:type="dxa" w:w="1814"/>
          </w:tcPr>
          <w:p>
            <w:pPr>
              <w:spacing w:after="0"/>
            </w:pPr>
            <w:r>
              <w:rPr>
                <w:sz w:val="17"/>
              </w:rPr>
              <w:t>Partial</w:t>
            </w:r>
          </w:p>
        </w:tc>
      </w:tr>
      <w:tr>
        <w:tc>
          <w:tcPr>
            <w:tcW w:type="dxa" w:w="1814"/>
          </w:tcPr>
          <w:p>
            <w:pPr>
              <w:spacing w:after="0"/>
            </w:pPr>
            <w:r>
              <w:rPr>
                <w:sz w:val="17"/>
              </w:rPr>
              <w:t>Notice</w:t>
            </w:r>
          </w:p>
        </w:tc>
        <w:tc>
          <w:tcPr>
            <w:tcW w:type="dxa" w:w="4234"/>
          </w:tcPr>
          <w:p>
            <w:pPr>
              <w:spacing w:after="0"/>
            </w:pPr>
            <w:r>
              <w:rPr>
                <w:sz w:val="17"/>
              </w:rPr>
              <w:t>Customer reports an unfamiliar account</w:t>
            </w:r>
          </w:p>
        </w:tc>
        <w:tc>
          <w:tcPr>
            <w:tcW w:type="dxa" w:w="2218"/>
          </w:tcPr>
          <w:p>
            <w:pPr>
              <w:spacing w:after="0"/>
            </w:pPr>
            <w:r>
              <w:rPr>
                <w:sz w:val="17"/>
              </w:rPr>
              <w:t>Complaints</w:t>
            </w:r>
          </w:p>
        </w:tc>
        <w:tc>
          <w:tcPr>
            <w:tcW w:type="dxa" w:w="1814"/>
          </w:tcPr>
          <w:p>
            <w:pPr>
              <w:spacing w:after="0"/>
            </w:pPr>
            <w:r>
              <w:rPr>
                <w:sz w:val="17"/>
              </w:rPr>
              <w:t>Partial</w:t>
            </w:r>
          </w:p>
        </w:tc>
      </w:tr>
      <w:tr>
        <w:tc>
          <w:tcPr>
            <w:tcW w:type="dxa" w:w="1814"/>
          </w:tcPr>
          <w:p>
            <w:pPr>
              <w:spacing w:after="0"/>
            </w:pPr>
            <w:r>
              <w:rPr>
                <w:sz w:val="17"/>
              </w:rPr>
              <w:t>Notice</w:t>
            </w:r>
          </w:p>
        </w:tc>
        <w:tc>
          <w:tcPr>
            <w:tcW w:type="dxa" w:w="4234"/>
          </w:tcPr>
          <w:p>
            <w:pPr>
              <w:spacing w:after="0"/>
            </w:pPr>
            <w:r>
              <w:rPr>
                <w:sz w:val="17"/>
              </w:rPr>
              <w:t>Law enforcement inquiry</w:t>
            </w:r>
          </w:p>
        </w:tc>
        <w:tc>
          <w:tcPr>
            <w:tcW w:type="dxa" w:w="2218"/>
          </w:tcPr>
          <w:p>
            <w:pPr>
              <w:spacing w:after="0"/>
            </w:pPr>
            <w:r>
              <w:rPr>
                <w:sz w:val="17"/>
              </w:rPr>
              <w:t>Management</w:t>
            </w:r>
          </w:p>
        </w:tc>
        <w:tc>
          <w:tcPr>
            <w:tcW w:type="dxa" w:w="1814"/>
          </w:tcPr>
          <w:p>
            <w:pPr>
              <w:spacing w:after="0"/>
            </w:pPr>
            <w:r>
              <w:rPr>
                <w:sz w:val="17"/>
              </w:rPr>
              <w:t>No</w:t>
            </w:r>
          </w:p>
        </w:tc>
      </w:tr>
    </w:tbl>
    <w:p>
      <w:pPr>
        <w:spacing w:after="40"/>
      </w:pPr>
    </w:p>
    <w:p>
      <w:pPr>
        <w:pStyle w:val="Heading1"/>
      </w:pPr>
      <w:r>
        <w:t>Appendix B - Intake checklist (current version)</w:t>
      </w:r>
    </w:p>
    <w:p>
      <w:pPr>
        <w:pStyle w:val="ListBullet"/>
        <w:spacing w:after="20"/>
      </w:pPr>
      <w:r>
        <w:t>Compare government ID to application name, address, and date of birth.</w:t>
      </w:r>
    </w:p>
    <w:p>
      <w:pPr>
        <w:pStyle w:val="ListBullet"/>
        <w:spacing w:after="20"/>
      </w:pPr>
      <w:r>
        <w:t>Review identity verification service result.</w:t>
      </w:r>
    </w:p>
    <w:p>
      <w:pPr>
        <w:pStyle w:val="ListBullet"/>
        <w:spacing w:after="20"/>
      </w:pPr>
      <w:r>
        <w:t>Note any red flag in the case log (do not copy full identity document).</w:t>
      </w:r>
    </w:p>
    <w:p>
      <w:pPr>
        <w:pStyle w:val="ListBullet"/>
        <w:spacing w:after="20"/>
      </w:pPr>
      <w:r>
        <w:t>Escalate to F&amp;I Manager if a red flag is present.</w:t>
      </w:r>
    </w:p>
    <w:p>
      <w:pPr>
        <w:pStyle w:val="ListBullet"/>
        <w:spacing w:after="20"/>
      </w:pPr>
      <w:r>
        <w:t>Field for which alert was resolved and how: NOT PRESENT (intentional test gap).</w:t>
      </w:r>
    </w:p>
    <w:p>
      <w:pPr>
        <w:pStyle w:val="ListBullet"/>
        <w:spacing w:after="20"/>
      </w:pPr>
      <w:r>
        <w:t>Field for escalation time and closure date: NOT PRESENT (intentional test gap).</w:t>
      </w:r>
    </w:p>
    <w:p>
      <w:r>
        <w:br w:type="page"/>
      </w:r>
    </w:p>
    <w:p>
      <w:pPr>
        <w:pStyle w:val="Heading1"/>
      </w:pPr>
      <w:r>
        <w:t>Appendix F.001 - Red flag review worksheet: Fraud alert included with a consumer report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CRA alert</w:t>
            </w:r>
          </w:p>
        </w:tc>
      </w:tr>
      <w:tr>
        <w:tc>
          <w:tcPr>
            <w:tcW w:type="dxa" w:w="3024"/>
            <w:shd w:val="clear" w:color="auto" w:fill="F0F3F7"/>
          </w:tcPr>
          <w:p>
            <w:pPr>
              <w:spacing w:after="0"/>
            </w:pPr>
            <w:r>
              <w:rPr>
                <w:b/>
                <w:sz w:val="17"/>
              </w:rPr>
              <w:t>Red flag</w:t>
            </w:r>
          </w:p>
        </w:tc>
        <w:tc>
          <w:tcPr>
            <w:tcW w:type="dxa" w:w="7056"/>
          </w:tcPr>
          <w:p>
            <w:pPr>
              <w:spacing w:after="0"/>
            </w:pPr>
            <w:r>
              <w:rPr>
                <w:sz w:val="17"/>
              </w:rPr>
              <w:t>Fraud alert included with a consumer report</w:t>
            </w:r>
          </w:p>
        </w:tc>
      </w:tr>
      <w:tr>
        <w:tc>
          <w:tcPr>
            <w:tcW w:type="dxa" w:w="3024"/>
            <w:shd w:val="clear" w:color="auto" w:fill="F0F3F7"/>
          </w:tcPr>
          <w:p>
            <w:pPr>
              <w:spacing w:after="0"/>
            </w:pPr>
            <w:r>
              <w:rPr>
                <w:b/>
                <w:sz w:val="17"/>
              </w:rPr>
              <w:t>Detection point</w:t>
            </w:r>
          </w:p>
        </w:tc>
        <w:tc>
          <w:tcPr>
            <w:tcW w:type="dxa" w:w="7056"/>
          </w:tcPr>
          <w:p>
            <w:pPr>
              <w:spacing w:after="0"/>
            </w:pPr>
            <w:r>
              <w:rPr>
                <w:sz w:val="17"/>
              </w:rPr>
              <w:t>Application intake (sales desk)</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application intake (sales desk) stage, the finance employee is expected to notice 'fraud alert included with a consumer report'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draft does not set a time limit for escalating this red flag to the Finance and Insurance Manager. No field exists on the intake checklist to record which alert was resolved or how it was resolved. Staff have received verbal instruction on this red flag, but no training attendance log exists. The credit application platform contract has not been reviewed for duties to detect or report this red flag. Caller verification for address change requests is not defined, so staff use their own judgment. No covered-account risk assessment supports the decision to treat this account type as covered. The board or an appropriate senior employee has not approved the response options listed for this red flag. There is no scheduled date to update this worksheet to reflect changes in identity theft risks. The Finance and Insurance Manager intends to summarize this red flag in an annual report, but no report exists yet.</w:t>
      </w:r>
    </w:p>
    <w:p>
      <w:pPr>
        <w:pStyle w:val="Heading2"/>
      </w:pPr>
      <w:r>
        <w:t>Program administration status</w:t>
      </w:r>
    </w:p>
    <w:p>
      <w:r>
        <w:t>This worksheet for 'fraud alert included with a consumer report'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application intake (sales desk) stage has not been contractually required to detect or report this red flag.</w:t>
      </w:r>
    </w:p>
    <w:p>
      <w:r>
        <w:t>Worksheet ID LAF-RF-0001. Status: draft, unresolved. These gaps are intentional in this synthetic test fixture for a fictional company and should be reported as gaps by any reviewer.</w:t>
      </w:r>
    </w:p>
    <w:p>
      <w:r>
        <w:br w:type="page"/>
      </w:r>
    </w:p>
    <w:p>
      <w:pPr>
        <w:pStyle w:val="Heading1"/>
      </w:pPr>
      <w:r>
        <w:t>Appendix F.002 - Red flag review worksheet: Notice of credit freeze in response to a request for a consumer report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CRA alert</w:t>
            </w:r>
          </w:p>
        </w:tc>
      </w:tr>
      <w:tr>
        <w:tc>
          <w:tcPr>
            <w:tcW w:type="dxa" w:w="3024"/>
            <w:shd w:val="clear" w:color="auto" w:fill="F0F3F7"/>
          </w:tcPr>
          <w:p>
            <w:pPr>
              <w:spacing w:after="0"/>
            </w:pPr>
            <w:r>
              <w:rPr>
                <w:b/>
                <w:sz w:val="17"/>
              </w:rPr>
              <w:t>Red flag</w:t>
            </w:r>
          </w:p>
        </w:tc>
        <w:tc>
          <w:tcPr>
            <w:tcW w:type="dxa" w:w="7056"/>
          </w:tcPr>
          <w:p>
            <w:pPr>
              <w:spacing w:after="0"/>
            </w:pPr>
            <w:r>
              <w:rPr>
                <w:sz w:val="17"/>
              </w:rPr>
              <w:t>Notice of credit freeze in response to a request for a consumer report</w:t>
            </w:r>
          </w:p>
        </w:tc>
      </w:tr>
      <w:tr>
        <w:tc>
          <w:tcPr>
            <w:tcW w:type="dxa" w:w="3024"/>
            <w:shd w:val="clear" w:color="auto" w:fill="F0F3F7"/>
          </w:tcPr>
          <w:p>
            <w:pPr>
              <w:spacing w:after="0"/>
            </w:pPr>
            <w:r>
              <w:rPr>
                <w:b/>
                <w:sz w:val="17"/>
              </w:rPr>
              <w:t>Detection point</w:t>
            </w:r>
          </w:p>
        </w:tc>
        <w:tc>
          <w:tcPr>
            <w:tcW w:type="dxa" w:w="7056"/>
          </w:tcPr>
          <w:p>
            <w:pPr>
              <w:spacing w:after="0"/>
            </w:pPr>
            <w:r>
              <w:rPr>
                <w:sz w:val="17"/>
              </w:rPr>
              <w:t>Account servicing - returned mail</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account servicing - returned mail stage, the finance employee is expected to notice 'notice of credit freeze in response to a request for a consumer report'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There is no scheduled date to update this worksheet to reflect changes in identity theft risks. The Finance and Insurance Manager intends to summarize this red flag in an annual report, but no report exists yet. Case-closure timing is not defined; open cases have no aging review. Program effectiveness for this red flag has not been evaluated, and no incidents of identity theft have been analyzed. The case log records the flag without copying a full identity document, as the draft instructs. The identity verification service is a service provider, but no one has confirmed whether it reports red flags to Lantern. The worksheet does not state who may approve an exception when a customer cannot provide additional evidence. Staff in the service department may receive address change calls, but they are not covered by any written instruction. The draft does not say how long case log entries are retained or who may access them.</w:t>
      </w:r>
    </w:p>
    <w:p>
      <w:pPr>
        <w:pStyle w:val="Heading2"/>
      </w:pPr>
      <w:r>
        <w:t>Program administration status</w:t>
      </w:r>
    </w:p>
    <w:p>
      <w:r>
        <w:t>This worksheet for 'notice of credit freeze in response to a request for a consumer report'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account servicing - returned mail stage has not been contractually required to detect or report this red flag.</w:t>
      </w:r>
    </w:p>
    <w:p>
      <w:r>
        <w:t>Worksheet ID LAF-RF-0002. Status: draft, unresolved. These gaps are intentional in this synthetic test fixture for a fictional company and should be reported as gaps by any reviewer.</w:t>
      </w:r>
    </w:p>
    <w:p>
      <w:r>
        <w:br w:type="page"/>
      </w:r>
    </w:p>
    <w:p>
      <w:pPr>
        <w:pStyle w:val="Heading1"/>
      </w:pPr>
      <w:r>
        <w:t>Appendix F.003 - Red flag review worksheet: Notice of address discrepancy from a consumer reporting agency</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CRA alert</w:t>
            </w:r>
          </w:p>
        </w:tc>
      </w:tr>
      <w:tr>
        <w:tc>
          <w:tcPr>
            <w:tcW w:type="dxa" w:w="3024"/>
            <w:shd w:val="clear" w:color="auto" w:fill="F0F3F7"/>
          </w:tcPr>
          <w:p>
            <w:pPr>
              <w:spacing w:after="0"/>
            </w:pPr>
            <w:r>
              <w:rPr>
                <w:b/>
                <w:sz w:val="17"/>
              </w:rPr>
              <w:t>Red flag</w:t>
            </w:r>
          </w:p>
        </w:tc>
        <w:tc>
          <w:tcPr>
            <w:tcW w:type="dxa" w:w="7056"/>
          </w:tcPr>
          <w:p>
            <w:pPr>
              <w:spacing w:after="0"/>
            </w:pPr>
            <w:r>
              <w:rPr>
                <w:sz w:val="17"/>
              </w:rPr>
              <w:t>Notice of address discrepancy from a consumer reporting agency</w:t>
            </w:r>
          </w:p>
        </w:tc>
      </w:tr>
      <w:tr>
        <w:tc>
          <w:tcPr>
            <w:tcW w:type="dxa" w:w="3024"/>
            <w:shd w:val="clear" w:color="auto" w:fill="F0F3F7"/>
          </w:tcPr>
          <w:p>
            <w:pPr>
              <w:spacing w:after="0"/>
            </w:pPr>
            <w:r>
              <w:rPr>
                <w:b/>
                <w:sz w:val="17"/>
              </w:rPr>
              <w:t>Detection point</w:t>
            </w:r>
          </w:p>
        </w:tc>
        <w:tc>
          <w:tcPr>
            <w:tcW w:type="dxa" w:w="7056"/>
          </w:tcPr>
          <w:p>
            <w:pPr>
              <w:spacing w:after="0"/>
            </w:pPr>
            <w:r>
              <w:rPr>
                <w:sz w:val="17"/>
              </w:rPr>
              <w:t>Credit application platform alert</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credit application platform alert stage, the finance employee is expected to notice 'notice of address discrepancy from a consumer reporting agency'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Staff in the service department may receive address change calls, but they are not covered by any written instruction. The draft does not say how long case log entries are retained or who may access them. No metrics are collected on how often this red flag is detected, escalated, or resolved. The draft has no process to add new red flags when the dealership introduces a new financing product. No refresher training is scheduled for finance employees who handle this red flag. Senior management has not received any written report on identity theft trends involving covered accounts. The response to this red flag depends on the manager's judgment because no decision criteria are written down. Returned-mail review happens when staff notice it; no schedule or log exists for this review. The draft does not set a time limit for escalating this red flag to the Finance and Insurance Manager.</w:t>
      </w:r>
    </w:p>
    <w:p>
      <w:pPr>
        <w:pStyle w:val="Heading2"/>
      </w:pPr>
      <w:r>
        <w:t>Program administration status</w:t>
      </w:r>
    </w:p>
    <w:p>
      <w:r>
        <w:t>This worksheet for 'notice of address discrepancy from a consumer reporting agency' has not been reviewed by the board of directors or an appropriate senior employee. The Finance and Insurance Manager plans to report identity theft trends annually, but no annual report, program effectiveness review, or update record exists yet. The service provider involved at the credit application platform alert stage has not been contractually required to detect or report this red flag.</w:t>
      </w:r>
    </w:p>
    <w:p>
      <w:r>
        <w:t>Worksheet ID LAF-RF-0003. Status: draft, unresolved. These gaps are intentional in this synthetic test fixture for a fictional company and should be reported as gaps by any reviewer.</w:t>
      </w:r>
    </w:p>
    <w:p>
      <w:r>
        <w:br w:type="page"/>
      </w:r>
    </w:p>
    <w:p>
      <w:pPr>
        <w:pStyle w:val="Heading1"/>
      </w:pPr>
      <w:r>
        <w:t>Appendix F.004 - Red flag review worksheet: Consumer report shows a pattern of activity inconsistent with the applicant's history</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CRA alert</w:t>
            </w:r>
          </w:p>
        </w:tc>
      </w:tr>
      <w:tr>
        <w:tc>
          <w:tcPr>
            <w:tcW w:type="dxa" w:w="3024"/>
            <w:shd w:val="clear" w:color="auto" w:fill="F0F3F7"/>
          </w:tcPr>
          <w:p>
            <w:pPr>
              <w:spacing w:after="0"/>
            </w:pPr>
            <w:r>
              <w:rPr>
                <w:b/>
                <w:sz w:val="17"/>
              </w:rPr>
              <w:t>Red flag</w:t>
            </w:r>
          </w:p>
        </w:tc>
        <w:tc>
          <w:tcPr>
            <w:tcW w:type="dxa" w:w="7056"/>
          </w:tcPr>
          <w:p>
            <w:pPr>
              <w:spacing w:after="0"/>
            </w:pPr>
            <w:r>
              <w:rPr>
                <w:sz w:val="17"/>
              </w:rPr>
              <w:t>Consumer report shows a pattern of activity inconsistent with the applicant's history</w:t>
            </w:r>
          </w:p>
        </w:tc>
      </w:tr>
      <w:tr>
        <w:tc>
          <w:tcPr>
            <w:tcW w:type="dxa" w:w="3024"/>
            <w:shd w:val="clear" w:color="auto" w:fill="F0F3F7"/>
          </w:tcPr>
          <w:p>
            <w:pPr>
              <w:spacing w:after="0"/>
            </w:pPr>
            <w:r>
              <w:rPr>
                <w:b/>
                <w:sz w:val="17"/>
              </w:rPr>
              <w:t>Detection point</w:t>
            </w:r>
          </w:p>
        </w:tc>
        <w:tc>
          <w:tcPr>
            <w:tcW w:type="dxa" w:w="7056"/>
          </w:tcPr>
          <w:p>
            <w:pPr>
              <w:spacing w:after="0"/>
            </w:pPr>
            <w:r>
              <w:rPr>
                <w:sz w:val="17"/>
              </w:rPr>
              <w:t>Application intake (F&amp;I office)</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application intake (f&amp;i office) stage, the finance employee is expected to notice 'consumer report shows a pattern of activity inconsistent with the applicant's history'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Returned-mail review happens when staff notice it; no schedule or log exists for this review. The draft does not set a time limit for escalating this red flag to the Finance and Insurance Manager. No field exists on the intake checklist to record which alert was resolved or how it was resolved. Staff have received verbal instruction on this red flag, but no training attendance log exists. The credit application platform contract has not been reviewed for duties to detect or report this red flag. Caller verification for address change requests is not defined, so staff use their own judgment. No covered-account risk assessment supports the decision to treat this account type as covered. The board or an appropriate senior employee has not approved the response options listed for this red flag. There is no scheduled date to update this worksheet to reflect changes in identity theft risks.</w:t>
      </w:r>
    </w:p>
    <w:p>
      <w:pPr>
        <w:pStyle w:val="Heading2"/>
      </w:pPr>
      <w:r>
        <w:t>Program administration status</w:t>
      </w:r>
    </w:p>
    <w:p>
      <w:r>
        <w:t>This worksheet for 'consumer report shows a pattern of activity inconsistent with the applicant's history'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application intake (f&amp;i office) stage has not been contractually required to detect or report this red flag.</w:t>
      </w:r>
    </w:p>
    <w:p>
      <w:r>
        <w:t>Worksheet ID LAF-RF-0004. Status: draft, unresolved. These gaps are intentional in this synthetic test fixture for a fictional company and should be reported as gaps by any reviewer.</w:t>
      </w:r>
    </w:p>
    <w:p>
      <w:r>
        <w:br w:type="page"/>
      </w:r>
    </w:p>
    <w:p>
      <w:pPr>
        <w:pStyle w:val="Heading1"/>
      </w:pPr>
      <w:r>
        <w:t>Appendix F.005 - Red flag review worksheet: Identification document appears to have been altered or forged</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documents</w:t>
            </w:r>
          </w:p>
        </w:tc>
      </w:tr>
      <w:tr>
        <w:tc>
          <w:tcPr>
            <w:tcW w:type="dxa" w:w="3024"/>
            <w:shd w:val="clear" w:color="auto" w:fill="F0F3F7"/>
          </w:tcPr>
          <w:p>
            <w:pPr>
              <w:spacing w:after="0"/>
            </w:pPr>
            <w:r>
              <w:rPr>
                <w:b/>
                <w:sz w:val="17"/>
              </w:rPr>
              <w:t>Red flag</w:t>
            </w:r>
          </w:p>
        </w:tc>
        <w:tc>
          <w:tcPr>
            <w:tcW w:type="dxa" w:w="7056"/>
          </w:tcPr>
          <w:p>
            <w:pPr>
              <w:spacing w:after="0"/>
            </w:pPr>
            <w:r>
              <w:rPr>
                <w:sz w:val="17"/>
              </w:rPr>
              <w:t>Identification document appears to have been altered or forged</w:t>
            </w:r>
          </w:p>
        </w:tc>
      </w:tr>
      <w:tr>
        <w:tc>
          <w:tcPr>
            <w:tcW w:type="dxa" w:w="3024"/>
            <w:shd w:val="clear" w:color="auto" w:fill="F0F3F7"/>
          </w:tcPr>
          <w:p>
            <w:pPr>
              <w:spacing w:after="0"/>
            </w:pPr>
            <w:r>
              <w:rPr>
                <w:b/>
                <w:sz w:val="17"/>
              </w:rPr>
              <w:t>Detection point</w:t>
            </w:r>
          </w:p>
        </w:tc>
        <w:tc>
          <w:tcPr>
            <w:tcW w:type="dxa" w:w="7056"/>
          </w:tcPr>
          <w:p>
            <w:pPr>
              <w:spacing w:after="0"/>
            </w:pPr>
            <w:r>
              <w:rPr>
                <w:sz w:val="17"/>
              </w:rPr>
              <w:t>Account servicing - customer calls</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account servicing - customer calls stage, the finance employee is expected to notice 'identification document appears to have been altered or forged'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board or an appropriate senior employee has not approved the response options listed for this red flag. There is no scheduled date to update this worksheet to reflect changes in identity theft risks. The Finance and Insurance Manager intends to summarize this red flag in an annual report, but no report exists yet. Case-closure timing is not defined; open cases have no aging review. Program effectiveness for this red flag has not been evaluated, and no incidents of identity theft have been analyzed. The case log records the flag without copying a full identity document, as the draft instructs. The identity verification service is a service provider, but no one has confirmed whether it reports red flags to Lantern. The worksheet does not state who may approve an exception when a customer cannot provide additional evidence. Staff in the service department may receive address change calls, but they are not covered by any written instruction.</w:t>
      </w:r>
    </w:p>
    <w:p>
      <w:pPr>
        <w:pStyle w:val="Heading2"/>
      </w:pPr>
      <w:r>
        <w:t>Program administration status</w:t>
      </w:r>
    </w:p>
    <w:p>
      <w:r>
        <w:t>This worksheet for 'identification document appears to have been altered or forged'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account servicing - customer calls stage has not been contractually required to detect or report this red flag.</w:t>
      </w:r>
    </w:p>
    <w:p>
      <w:r>
        <w:t>Worksheet ID LAF-RF-0005. Status: draft, unresolved. These gaps are intentional in this synthetic test fixture for a fictional company and should be reported as gaps by any reviewer.</w:t>
      </w:r>
    </w:p>
    <w:p>
      <w:r>
        <w:br w:type="page"/>
      </w:r>
    </w:p>
    <w:p>
      <w:pPr>
        <w:pStyle w:val="Heading1"/>
      </w:pPr>
      <w:r>
        <w:t>Appendix F.006 - Red flag review worksheet: Photograph or physical description on identification is inconsistent with the applicant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documents</w:t>
            </w:r>
          </w:p>
        </w:tc>
      </w:tr>
      <w:tr>
        <w:tc>
          <w:tcPr>
            <w:tcW w:type="dxa" w:w="3024"/>
            <w:shd w:val="clear" w:color="auto" w:fill="F0F3F7"/>
          </w:tcPr>
          <w:p>
            <w:pPr>
              <w:spacing w:after="0"/>
            </w:pPr>
            <w:r>
              <w:rPr>
                <w:b/>
                <w:sz w:val="17"/>
              </w:rPr>
              <w:t>Red flag</w:t>
            </w:r>
          </w:p>
        </w:tc>
        <w:tc>
          <w:tcPr>
            <w:tcW w:type="dxa" w:w="7056"/>
          </w:tcPr>
          <w:p>
            <w:pPr>
              <w:spacing w:after="0"/>
            </w:pPr>
            <w:r>
              <w:rPr>
                <w:sz w:val="17"/>
              </w:rPr>
              <w:t>Photograph or physical description on identification is inconsistent with the applicant</w:t>
            </w:r>
          </w:p>
        </w:tc>
      </w:tr>
      <w:tr>
        <w:tc>
          <w:tcPr>
            <w:tcW w:type="dxa" w:w="3024"/>
            <w:shd w:val="clear" w:color="auto" w:fill="F0F3F7"/>
          </w:tcPr>
          <w:p>
            <w:pPr>
              <w:spacing w:after="0"/>
            </w:pPr>
            <w:r>
              <w:rPr>
                <w:b/>
                <w:sz w:val="17"/>
              </w:rPr>
              <w:t>Detection point</w:t>
            </w:r>
          </w:p>
        </w:tc>
        <w:tc>
          <w:tcPr>
            <w:tcW w:type="dxa" w:w="7056"/>
          </w:tcPr>
          <w:p>
            <w:pPr>
              <w:spacing w:after="0"/>
            </w:pPr>
            <w:r>
              <w:rPr>
                <w:sz w:val="17"/>
              </w:rPr>
              <w:t>Management review</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management review stage, the finance employee is expected to notice 'photograph or physical description on identification is inconsistent with the applicant'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worksheet does not state who may approve an exception when a customer cannot provide additional evidence. Staff in the service department may receive address change calls, but they are not covered by any written instruction. The draft does not say how long case log entries are retained or who may access them. No metrics are collected on how often this red flag is detected, escalated, or resolved. The draft has no process to add new red flags when the dealership introduces a new financing product. No refresher training is scheduled for finance employees who handle this red flag. Senior management has not received any written report on identity theft trends involving covered accounts. The response to this red flag depends on the manager's judgment because no decision criteria are written down. Returned-mail review happens when staff notice it; no schedule or log exists for this review.</w:t>
      </w:r>
    </w:p>
    <w:p>
      <w:pPr>
        <w:pStyle w:val="Heading2"/>
      </w:pPr>
      <w:r>
        <w:t>Program administration status</w:t>
      </w:r>
    </w:p>
    <w:p>
      <w:r>
        <w:t>This worksheet for 'photograph or physical description on identification is inconsistent with the applicant' has not been reviewed by the board of directors or an appropriate senior employee. The Finance and Insurance Manager plans to report identity theft trends annually, but no annual report, program effectiveness review, or update record exists yet. The service provider involved at the management review stage has not been contractually required to detect or report this red flag.</w:t>
      </w:r>
    </w:p>
    <w:p>
      <w:r>
        <w:t>Worksheet ID LAF-RF-0006. Status: draft, unresolved. These gaps are intentional in this synthetic test fixture for a fictional company and should be reported as gaps by any reviewer.</w:t>
      </w:r>
    </w:p>
    <w:p>
      <w:r>
        <w:br w:type="page"/>
      </w:r>
    </w:p>
    <w:p>
      <w:pPr>
        <w:pStyle w:val="Heading1"/>
      </w:pPr>
      <w:r>
        <w:t>Appendix F.007 - Red flag review worksheet: Other information on identification is inconsistent with the credit application</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documents</w:t>
            </w:r>
          </w:p>
        </w:tc>
      </w:tr>
      <w:tr>
        <w:tc>
          <w:tcPr>
            <w:tcW w:type="dxa" w:w="3024"/>
            <w:shd w:val="clear" w:color="auto" w:fill="F0F3F7"/>
          </w:tcPr>
          <w:p>
            <w:pPr>
              <w:spacing w:after="0"/>
            </w:pPr>
            <w:r>
              <w:rPr>
                <w:b/>
                <w:sz w:val="17"/>
              </w:rPr>
              <w:t>Red flag</w:t>
            </w:r>
          </w:p>
        </w:tc>
        <w:tc>
          <w:tcPr>
            <w:tcW w:type="dxa" w:w="7056"/>
          </w:tcPr>
          <w:p>
            <w:pPr>
              <w:spacing w:after="0"/>
            </w:pPr>
            <w:r>
              <w:rPr>
                <w:sz w:val="17"/>
              </w:rPr>
              <w:t>Other information on identification is inconsistent with the credit application</w:t>
            </w:r>
          </w:p>
        </w:tc>
      </w:tr>
      <w:tr>
        <w:tc>
          <w:tcPr>
            <w:tcW w:type="dxa" w:w="3024"/>
            <w:shd w:val="clear" w:color="auto" w:fill="F0F3F7"/>
          </w:tcPr>
          <w:p>
            <w:pPr>
              <w:spacing w:after="0"/>
            </w:pPr>
            <w:r>
              <w:rPr>
                <w:b/>
                <w:sz w:val="17"/>
              </w:rPr>
              <w:t>Detection point</w:t>
            </w:r>
          </w:p>
        </w:tc>
        <w:tc>
          <w:tcPr>
            <w:tcW w:type="dxa" w:w="7056"/>
          </w:tcPr>
          <w:p>
            <w:pPr>
              <w:spacing w:after="0"/>
            </w:pPr>
            <w:r>
              <w:rPr>
                <w:sz w:val="17"/>
              </w:rPr>
              <w:t>Identity verification service result</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identity verification service result stage, the finance employee is expected to notice 'other information on identification is inconsistent with the credit application'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response to this red flag depends on the manager's judgment because no decision criteria are written down. Returned-mail review happens when staff notice it; no schedule or log exists for this review. The draft does not set a time limit for escalating this red flag to the Finance and Insurance Manager. No field exists on the intake checklist to record which alert was resolved or how it was resolved. Staff have received verbal instruction on this red flag, but no training attendance log exists. The credit application platform contract has not been reviewed for duties to detect or report this red flag. Caller verification for address change requests is not defined, so staff use their own judgment. No covered-account risk assessment supports the decision to treat this account type as covered. The board or an appropriate senior employee has not approved the response options listed for this red flag.</w:t>
      </w:r>
    </w:p>
    <w:p>
      <w:pPr>
        <w:pStyle w:val="Heading2"/>
      </w:pPr>
      <w:r>
        <w:t>Program administration status</w:t>
      </w:r>
    </w:p>
    <w:p>
      <w:r>
        <w:t>This worksheet for 'other information on identification is inconsistent with the credit application' has not been reviewed by the board of directors or an appropriate senior employee. The Finance and Insurance Manager plans to report identity theft trends annually, but no annual report, program effectiveness review, or update record exists yet. The service provider involved at the identity verification service result stage has not been contractually required to detect or report this red flag.</w:t>
      </w:r>
    </w:p>
    <w:p>
      <w:r>
        <w:t>Worksheet ID LAF-RF-0007. Status: draft, unresolved. These gaps are intentional in this synthetic test fixture for a fictional company and should be reported as gaps by any reviewer.</w:t>
      </w:r>
    </w:p>
    <w:p>
      <w:r>
        <w:br w:type="page"/>
      </w:r>
    </w:p>
    <w:p>
      <w:pPr>
        <w:pStyle w:val="Heading1"/>
      </w:pPr>
      <w:r>
        <w:t>Appendix F.008 - Red flag review worksheet: Application appears altered, or destroyed and reassembled</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documents</w:t>
            </w:r>
          </w:p>
        </w:tc>
      </w:tr>
      <w:tr>
        <w:tc>
          <w:tcPr>
            <w:tcW w:type="dxa" w:w="3024"/>
            <w:shd w:val="clear" w:color="auto" w:fill="F0F3F7"/>
          </w:tcPr>
          <w:p>
            <w:pPr>
              <w:spacing w:after="0"/>
            </w:pPr>
            <w:r>
              <w:rPr>
                <w:b/>
                <w:sz w:val="17"/>
              </w:rPr>
              <w:t>Red flag</w:t>
            </w:r>
          </w:p>
        </w:tc>
        <w:tc>
          <w:tcPr>
            <w:tcW w:type="dxa" w:w="7056"/>
          </w:tcPr>
          <w:p>
            <w:pPr>
              <w:spacing w:after="0"/>
            </w:pPr>
            <w:r>
              <w:rPr>
                <w:sz w:val="17"/>
              </w:rPr>
              <w:t>Application appears altered, or destroyed and reassembled</w:t>
            </w:r>
          </w:p>
        </w:tc>
      </w:tr>
      <w:tr>
        <w:tc>
          <w:tcPr>
            <w:tcW w:type="dxa" w:w="3024"/>
            <w:shd w:val="clear" w:color="auto" w:fill="F0F3F7"/>
          </w:tcPr>
          <w:p>
            <w:pPr>
              <w:spacing w:after="0"/>
            </w:pPr>
            <w:r>
              <w:rPr>
                <w:b/>
                <w:sz w:val="17"/>
              </w:rPr>
              <w:t>Detection point</w:t>
            </w:r>
          </w:p>
        </w:tc>
        <w:tc>
          <w:tcPr>
            <w:tcW w:type="dxa" w:w="7056"/>
          </w:tcPr>
          <w:p>
            <w:pPr>
              <w:spacing w:after="0"/>
            </w:pPr>
            <w:r>
              <w:rPr>
                <w:sz w:val="17"/>
              </w:rPr>
              <w:t>Complaint handling</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complaint handling stage, the finance employee is expected to notice 'application appears altered, or destroyed and reassembled'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No covered-account risk assessment supports the decision to treat this account type as covered. The board or an appropriate senior employee has not approved the response options listed for this red flag. There is no scheduled date to update this worksheet to reflect changes in identity theft risks. The Finance and Insurance Manager intends to summarize this red flag in an annual report, but no report exists yet. Case-closure timing is not defined; open cases have no aging review. Program effectiveness for this red flag has not been evaluated, and no incidents of identity theft have been analyzed. The case log records the flag without copying a full identity document, as the draft instructs. The identity verification service is a service provider, but no one has confirmed whether it reports red flags to Lantern. The worksheet does not state who may approve an exception when a customer cannot provide additional evidence.</w:t>
      </w:r>
    </w:p>
    <w:p>
      <w:pPr>
        <w:pStyle w:val="Heading2"/>
      </w:pPr>
      <w:r>
        <w:t>Program administration status</w:t>
      </w:r>
    </w:p>
    <w:p>
      <w:r>
        <w:t>This worksheet for 'application appears altered, or destroyed and reassembled' has not been reviewed by the board of directors or an appropriate senior employee. The Finance and Insurance Manager plans to report identity theft trends annually, but no annual report, program effectiveness review, or update record exists yet. The service provider involved at the complaint handling stage has not been contractually required to detect or report this red flag.</w:t>
      </w:r>
    </w:p>
    <w:p>
      <w:r>
        <w:t>Worksheet ID LAF-RF-0008. Status: draft, unresolved. These gaps are intentional in this synthetic test fixture for a fictional company and should be reported as gaps by any reviewer.</w:t>
      </w:r>
    </w:p>
    <w:p>
      <w:r>
        <w:br w:type="page"/>
      </w:r>
    </w:p>
    <w:p>
      <w:pPr>
        <w:pStyle w:val="Heading1"/>
      </w:pPr>
      <w:r>
        <w:t>Appendix F.009 - Red flag review worksheet: Address does not match information from external sources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identifying information</w:t>
            </w:r>
          </w:p>
        </w:tc>
      </w:tr>
      <w:tr>
        <w:tc>
          <w:tcPr>
            <w:tcW w:type="dxa" w:w="3024"/>
            <w:shd w:val="clear" w:color="auto" w:fill="F0F3F7"/>
          </w:tcPr>
          <w:p>
            <w:pPr>
              <w:spacing w:after="0"/>
            </w:pPr>
            <w:r>
              <w:rPr>
                <w:b/>
                <w:sz w:val="17"/>
              </w:rPr>
              <w:t>Red flag</w:t>
            </w:r>
          </w:p>
        </w:tc>
        <w:tc>
          <w:tcPr>
            <w:tcW w:type="dxa" w:w="7056"/>
          </w:tcPr>
          <w:p>
            <w:pPr>
              <w:spacing w:after="0"/>
            </w:pPr>
            <w:r>
              <w:rPr>
                <w:sz w:val="17"/>
              </w:rPr>
              <w:t>Address does not match information from external sources</w:t>
            </w:r>
          </w:p>
        </w:tc>
      </w:tr>
      <w:tr>
        <w:tc>
          <w:tcPr>
            <w:tcW w:type="dxa" w:w="3024"/>
            <w:shd w:val="clear" w:color="auto" w:fill="F0F3F7"/>
          </w:tcPr>
          <w:p>
            <w:pPr>
              <w:spacing w:after="0"/>
            </w:pPr>
            <w:r>
              <w:rPr>
                <w:b/>
                <w:sz w:val="17"/>
              </w:rPr>
              <w:t>Detection point</w:t>
            </w:r>
          </w:p>
        </w:tc>
        <w:tc>
          <w:tcPr>
            <w:tcW w:type="dxa" w:w="7056"/>
          </w:tcPr>
          <w:p>
            <w:pPr>
              <w:spacing w:after="0"/>
            </w:pPr>
            <w:r>
              <w:rPr>
                <w:sz w:val="17"/>
              </w:rPr>
              <w:t>Application intake (sales desk)</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application intake (sales desk) stage, the finance employee is expected to notice 'address does not match information from external sources'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identity verification service is a service provider, but no one has confirmed whether it reports red flags to Lantern. The worksheet does not state who may approve an exception when a customer cannot provide additional evidence. Staff in the service department may receive address change calls, but they are not covered by any written instruction. The draft does not say how long case log entries are retained or who may access them. No metrics are collected on how often this red flag is detected, escalated, or resolved. The draft has no process to add new red flags when the dealership introduces a new financing product. No refresher training is scheduled for finance employees who handle this red flag. Senior management has not received any written report on identity theft trends involving covered accounts. The response to this red flag depends on the manager's judgment because no decision criteria are written down.</w:t>
      </w:r>
    </w:p>
    <w:p>
      <w:pPr>
        <w:pStyle w:val="Heading2"/>
      </w:pPr>
      <w:r>
        <w:t>Program administration status</w:t>
      </w:r>
    </w:p>
    <w:p>
      <w:r>
        <w:t>This worksheet for 'address does not match information from external sources'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application intake (sales desk) stage has not been contractually required to detect or report this red flag.</w:t>
      </w:r>
    </w:p>
    <w:p>
      <w:r>
        <w:t>Worksheet ID LAF-RF-0009. Status: draft, unresolved. These gaps are intentional in this synthetic test fixture for a fictional company and should be reported as gaps by any reviewer.</w:t>
      </w:r>
    </w:p>
    <w:p>
      <w:r>
        <w:br w:type="page"/>
      </w:r>
    </w:p>
    <w:p>
      <w:pPr>
        <w:pStyle w:val="Heading1"/>
      </w:pPr>
      <w:r>
        <w:t>Appendix F.010 - Red flag review worksheet: SSN has not been issued or is listed on a death master file</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identifying information</w:t>
            </w:r>
          </w:p>
        </w:tc>
      </w:tr>
      <w:tr>
        <w:tc>
          <w:tcPr>
            <w:tcW w:type="dxa" w:w="3024"/>
            <w:shd w:val="clear" w:color="auto" w:fill="F0F3F7"/>
          </w:tcPr>
          <w:p>
            <w:pPr>
              <w:spacing w:after="0"/>
            </w:pPr>
            <w:r>
              <w:rPr>
                <w:b/>
                <w:sz w:val="17"/>
              </w:rPr>
              <w:t>Red flag</w:t>
            </w:r>
          </w:p>
        </w:tc>
        <w:tc>
          <w:tcPr>
            <w:tcW w:type="dxa" w:w="7056"/>
          </w:tcPr>
          <w:p>
            <w:pPr>
              <w:spacing w:after="0"/>
            </w:pPr>
            <w:r>
              <w:rPr>
                <w:sz w:val="17"/>
              </w:rPr>
              <w:t>SSN has not been issued or is listed on a death master file</w:t>
            </w:r>
          </w:p>
        </w:tc>
      </w:tr>
      <w:tr>
        <w:tc>
          <w:tcPr>
            <w:tcW w:type="dxa" w:w="3024"/>
            <w:shd w:val="clear" w:color="auto" w:fill="F0F3F7"/>
          </w:tcPr>
          <w:p>
            <w:pPr>
              <w:spacing w:after="0"/>
            </w:pPr>
            <w:r>
              <w:rPr>
                <w:b/>
                <w:sz w:val="17"/>
              </w:rPr>
              <w:t>Detection point</w:t>
            </w:r>
          </w:p>
        </w:tc>
        <w:tc>
          <w:tcPr>
            <w:tcW w:type="dxa" w:w="7056"/>
          </w:tcPr>
          <w:p>
            <w:pPr>
              <w:spacing w:after="0"/>
            </w:pPr>
            <w:r>
              <w:rPr>
                <w:sz w:val="17"/>
              </w:rPr>
              <w:t>Account servicing - returned mail</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account servicing - returned mail stage, the finance employee is expected to notice 'ssn has not been issued or is listed on a death master file'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Senior management has not received any written report on identity theft trends involving covered accounts. The response to this red flag depends on the manager's judgment because no decision criteria are written down. Returned-mail review happens when staff notice it; no schedule or log exists for this review. The draft does not set a time limit for escalating this red flag to the Finance and Insurance Manager. No field exists on the intake checklist to record which alert was resolved or how it was resolved. Staff have received verbal instruction on this red flag, but no training attendance log exists. The credit application platform contract has not been reviewed for duties to detect or report this red flag. Caller verification for address change requests is not defined, so staff use their own judgment. No covered-account risk assessment supports the decision to treat this account type as covered.</w:t>
      </w:r>
    </w:p>
    <w:p>
      <w:pPr>
        <w:pStyle w:val="Heading2"/>
      </w:pPr>
      <w:r>
        <w:t>Program administration status</w:t>
      </w:r>
    </w:p>
    <w:p>
      <w:r>
        <w:t>This worksheet for 'ssn has not been issued or is listed on a death master file'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account servicing - returned mail stage has not been contractually required to detect or report this red flag.</w:t>
      </w:r>
    </w:p>
    <w:p>
      <w:r>
        <w:t>Worksheet ID LAF-RF-0010. Status: draft, unresolved. These gaps are intentional in this synthetic test fixture for a fictional company and should be reported as gaps by any reviewer.</w:t>
      </w:r>
    </w:p>
    <w:p>
      <w:r>
        <w:br w:type="page"/>
      </w:r>
    </w:p>
    <w:p>
      <w:pPr>
        <w:pStyle w:val="Heading1"/>
      </w:pPr>
      <w:r>
        <w:t>Appendix F.011 - Red flag review worksheet: Address or phone number is associated with known fraudulent applications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identifying information</w:t>
            </w:r>
          </w:p>
        </w:tc>
      </w:tr>
      <w:tr>
        <w:tc>
          <w:tcPr>
            <w:tcW w:type="dxa" w:w="3024"/>
            <w:shd w:val="clear" w:color="auto" w:fill="F0F3F7"/>
          </w:tcPr>
          <w:p>
            <w:pPr>
              <w:spacing w:after="0"/>
            </w:pPr>
            <w:r>
              <w:rPr>
                <w:b/>
                <w:sz w:val="17"/>
              </w:rPr>
              <w:t>Red flag</w:t>
            </w:r>
          </w:p>
        </w:tc>
        <w:tc>
          <w:tcPr>
            <w:tcW w:type="dxa" w:w="7056"/>
          </w:tcPr>
          <w:p>
            <w:pPr>
              <w:spacing w:after="0"/>
            </w:pPr>
            <w:r>
              <w:rPr>
                <w:sz w:val="17"/>
              </w:rPr>
              <w:t>Address or phone number is associated with known fraudulent applications</w:t>
            </w:r>
          </w:p>
        </w:tc>
      </w:tr>
      <w:tr>
        <w:tc>
          <w:tcPr>
            <w:tcW w:type="dxa" w:w="3024"/>
            <w:shd w:val="clear" w:color="auto" w:fill="F0F3F7"/>
          </w:tcPr>
          <w:p>
            <w:pPr>
              <w:spacing w:after="0"/>
            </w:pPr>
            <w:r>
              <w:rPr>
                <w:b/>
                <w:sz w:val="17"/>
              </w:rPr>
              <w:t>Detection point</w:t>
            </w:r>
          </w:p>
        </w:tc>
        <w:tc>
          <w:tcPr>
            <w:tcW w:type="dxa" w:w="7056"/>
          </w:tcPr>
          <w:p>
            <w:pPr>
              <w:spacing w:after="0"/>
            </w:pPr>
            <w:r>
              <w:rPr>
                <w:sz w:val="17"/>
              </w:rPr>
              <w:t>Credit application platform alert</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credit application platform alert stage, the finance employee is expected to notice 'address or phone number is associated with known fraudulent applications'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Caller verification for address change requests is not defined, so staff use their own judgment. No covered-account risk assessment supports the decision to treat this account type as covered. The board or an appropriate senior employee has not approved the response options listed for this red flag. There is no scheduled date to update this worksheet to reflect changes in identity theft risks. The Finance and Insurance Manager intends to summarize this red flag in an annual report, but no report exists yet. Case-closure timing is not defined; open cases have no aging review. Program effectiveness for this red flag has not been evaluated, and no incidents of identity theft have been analyzed. The case log records the flag without copying a full identity document, as the draft instructs. The identity verification service is a service provider, but no one has confirmed whether it reports red flags to Lantern.</w:t>
      </w:r>
    </w:p>
    <w:p>
      <w:pPr>
        <w:pStyle w:val="Heading2"/>
      </w:pPr>
      <w:r>
        <w:t>Program administration status</w:t>
      </w:r>
    </w:p>
    <w:p>
      <w:r>
        <w:t>This worksheet for 'address or phone number is associated with known fraudulent applications' has not been reviewed by the board of directors or an appropriate senior employee. The Finance and Insurance Manager plans to report identity theft trends annually, but no annual report, program effectiveness review, or update record exists yet. The service provider involved at the credit application platform alert stage has not been contractually required to detect or report this red flag.</w:t>
      </w:r>
    </w:p>
    <w:p>
      <w:r>
        <w:t>Worksheet ID LAF-RF-0011. Status: draft, unresolved. These gaps are intentional in this synthetic test fixture for a fictional company and should be reported as gaps by any reviewer.</w:t>
      </w:r>
    </w:p>
    <w:p>
      <w:r>
        <w:br w:type="page"/>
      </w:r>
    </w:p>
    <w:p>
      <w:pPr>
        <w:pStyle w:val="Heading1"/>
      </w:pPr>
      <w:r>
        <w:t>Appendix F.012 - Red flag review worksheet: SSN or address is the same as that submitted by other applicants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identifying information</w:t>
            </w:r>
          </w:p>
        </w:tc>
      </w:tr>
      <w:tr>
        <w:tc>
          <w:tcPr>
            <w:tcW w:type="dxa" w:w="3024"/>
            <w:shd w:val="clear" w:color="auto" w:fill="F0F3F7"/>
          </w:tcPr>
          <w:p>
            <w:pPr>
              <w:spacing w:after="0"/>
            </w:pPr>
            <w:r>
              <w:rPr>
                <w:b/>
                <w:sz w:val="17"/>
              </w:rPr>
              <w:t>Red flag</w:t>
            </w:r>
          </w:p>
        </w:tc>
        <w:tc>
          <w:tcPr>
            <w:tcW w:type="dxa" w:w="7056"/>
          </w:tcPr>
          <w:p>
            <w:pPr>
              <w:spacing w:after="0"/>
            </w:pPr>
            <w:r>
              <w:rPr>
                <w:sz w:val="17"/>
              </w:rPr>
              <w:t>SSN or address is the same as that submitted by other applicants</w:t>
            </w:r>
          </w:p>
        </w:tc>
      </w:tr>
      <w:tr>
        <w:tc>
          <w:tcPr>
            <w:tcW w:type="dxa" w:w="3024"/>
            <w:shd w:val="clear" w:color="auto" w:fill="F0F3F7"/>
          </w:tcPr>
          <w:p>
            <w:pPr>
              <w:spacing w:after="0"/>
            </w:pPr>
            <w:r>
              <w:rPr>
                <w:b/>
                <w:sz w:val="17"/>
              </w:rPr>
              <w:t>Detection point</w:t>
            </w:r>
          </w:p>
        </w:tc>
        <w:tc>
          <w:tcPr>
            <w:tcW w:type="dxa" w:w="7056"/>
          </w:tcPr>
          <w:p>
            <w:pPr>
              <w:spacing w:after="0"/>
            </w:pPr>
            <w:r>
              <w:rPr>
                <w:sz w:val="17"/>
              </w:rPr>
              <w:t>Application intake (F&amp;I office)</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application intake (f&amp;i office) stage, the finance employee is expected to notice 'ssn or address is the same as that submitted by other applicants'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case log records the flag without copying a full identity document, as the draft instructs. The identity verification service is a service provider, but no one has confirmed whether it reports red flags to Lantern. The worksheet does not state who may approve an exception when a customer cannot provide additional evidence. Staff in the service department may receive address change calls, but they are not covered by any written instruction. The draft does not say how long case log entries are retained or who may access them. No metrics are collected on how often this red flag is detected, escalated, or resolved. The draft has no process to add new red flags when the dealership introduces a new financing product. No refresher training is scheduled for finance employees who handle this red flag. Senior management has not received any written report on identity theft trends involving covered accounts.</w:t>
      </w:r>
    </w:p>
    <w:p>
      <w:pPr>
        <w:pStyle w:val="Heading2"/>
      </w:pPr>
      <w:r>
        <w:t>Program administration status</w:t>
      </w:r>
    </w:p>
    <w:p>
      <w:r>
        <w:t>This worksheet for 'ssn or address is the same as that submitted by other applicants'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application intake (f&amp;i office) stage has not been contractually required to detect or report this red flag.</w:t>
      </w:r>
    </w:p>
    <w:p>
      <w:r>
        <w:t>Worksheet ID LAF-RF-0012. Status: draft, unresolved. These gaps are intentional in this synthetic test fixture for a fictional company and should be reported as gaps by any reviewer.</w:t>
      </w:r>
    </w:p>
    <w:p>
      <w:r>
        <w:br w:type="page"/>
      </w:r>
    </w:p>
    <w:p>
      <w:pPr>
        <w:pStyle w:val="Heading1"/>
      </w:pPr>
      <w:r>
        <w:t>Appendix F.013 - Red flag review worksheet: Applicant cannot provide authenticating information beyond what is in a wallet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identifying information</w:t>
            </w:r>
          </w:p>
        </w:tc>
      </w:tr>
      <w:tr>
        <w:tc>
          <w:tcPr>
            <w:tcW w:type="dxa" w:w="3024"/>
            <w:shd w:val="clear" w:color="auto" w:fill="F0F3F7"/>
          </w:tcPr>
          <w:p>
            <w:pPr>
              <w:spacing w:after="0"/>
            </w:pPr>
            <w:r>
              <w:rPr>
                <w:b/>
                <w:sz w:val="17"/>
              </w:rPr>
              <w:t>Red flag</w:t>
            </w:r>
          </w:p>
        </w:tc>
        <w:tc>
          <w:tcPr>
            <w:tcW w:type="dxa" w:w="7056"/>
          </w:tcPr>
          <w:p>
            <w:pPr>
              <w:spacing w:after="0"/>
            </w:pPr>
            <w:r>
              <w:rPr>
                <w:sz w:val="17"/>
              </w:rPr>
              <w:t>Applicant cannot provide authenticating information beyond what is in a wallet</w:t>
            </w:r>
          </w:p>
        </w:tc>
      </w:tr>
      <w:tr>
        <w:tc>
          <w:tcPr>
            <w:tcW w:type="dxa" w:w="3024"/>
            <w:shd w:val="clear" w:color="auto" w:fill="F0F3F7"/>
          </w:tcPr>
          <w:p>
            <w:pPr>
              <w:spacing w:after="0"/>
            </w:pPr>
            <w:r>
              <w:rPr>
                <w:b/>
                <w:sz w:val="17"/>
              </w:rPr>
              <w:t>Detection point</w:t>
            </w:r>
          </w:p>
        </w:tc>
        <w:tc>
          <w:tcPr>
            <w:tcW w:type="dxa" w:w="7056"/>
          </w:tcPr>
          <w:p>
            <w:pPr>
              <w:spacing w:after="0"/>
            </w:pPr>
            <w:r>
              <w:rPr>
                <w:sz w:val="17"/>
              </w:rPr>
              <w:t>Account servicing - customer calls</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account servicing - customer calls stage, the finance employee is expected to notice 'applicant cannot provide authenticating information beyond what is in a wallet'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No refresher training is scheduled for finance employees who handle this red flag. Senior management has not received any written report on identity theft trends involving covered accounts. The response to this red flag depends on the manager's judgment because no decision criteria are written down. Returned-mail review happens when staff notice it; no schedule or log exists for this review. The draft does not set a time limit for escalating this red flag to the Finance and Insurance Manager. No field exists on the intake checklist to record which alert was resolved or how it was resolved. Staff have received verbal instruction on this red flag, but no training attendance log exists. The credit application platform contract has not been reviewed for duties to detect or report this red flag. Caller verification for address change requests is not defined, so staff use their own judgment.</w:t>
      </w:r>
    </w:p>
    <w:p>
      <w:pPr>
        <w:pStyle w:val="Heading2"/>
      </w:pPr>
      <w:r>
        <w:t>Program administration status</w:t>
      </w:r>
    </w:p>
    <w:p>
      <w:r>
        <w:t>This worksheet for 'applicant cannot provide authenticating information beyond what is in a wallet'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account servicing - customer calls stage has not been contractually required to detect or report this red flag.</w:t>
      </w:r>
    </w:p>
    <w:p>
      <w:r>
        <w:t>Worksheet ID LAF-RF-0013. Status: draft, unresolved. These gaps are intentional in this synthetic test fixture for a fictional company and should be reported as gaps by any reviewer.</w:t>
      </w:r>
    </w:p>
    <w:p>
      <w:r>
        <w:br w:type="page"/>
      </w:r>
    </w:p>
    <w:p>
      <w:pPr>
        <w:pStyle w:val="Heading1"/>
      </w:pPr>
      <w:r>
        <w:t>Appendix F.014 - Red flag review worksheet: Request to redirect account notices shortly after a change of address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Unusual account activity</w:t>
            </w:r>
          </w:p>
        </w:tc>
      </w:tr>
      <w:tr>
        <w:tc>
          <w:tcPr>
            <w:tcW w:type="dxa" w:w="3024"/>
            <w:shd w:val="clear" w:color="auto" w:fill="F0F3F7"/>
          </w:tcPr>
          <w:p>
            <w:pPr>
              <w:spacing w:after="0"/>
            </w:pPr>
            <w:r>
              <w:rPr>
                <w:b/>
                <w:sz w:val="17"/>
              </w:rPr>
              <w:t>Red flag</w:t>
            </w:r>
          </w:p>
        </w:tc>
        <w:tc>
          <w:tcPr>
            <w:tcW w:type="dxa" w:w="7056"/>
          </w:tcPr>
          <w:p>
            <w:pPr>
              <w:spacing w:after="0"/>
            </w:pPr>
            <w:r>
              <w:rPr>
                <w:sz w:val="17"/>
              </w:rPr>
              <w:t>Request to redirect account notices shortly after a change of address</w:t>
            </w:r>
          </w:p>
        </w:tc>
      </w:tr>
      <w:tr>
        <w:tc>
          <w:tcPr>
            <w:tcW w:type="dxa" w:w="3024"/>
            <w:shd w:val="clear" w:color="auto" w:fill="F0F3F7"/>
          </w:tcPr>
          <w:p>
            <w:pPr>
              <w:spacing w:after="0"/>
            </w:pPr>
            <w:r>
              <w:rPr>
                <w:b/>
                <w:sz w:val="17"/>
              </w:rPr>
              <w:t>Detection point</w:t>
            </w:r>
          </w:p>
        </w:tc>
        <w:tc>
          <w:tcPr>
            <w:tcW w:type="dxa" w:w="7056"/>
          </w:tcPr>
          <w:p>
            <w:pPr>
              <w:spacing w:after="0"/>
            </w:pPr>
            <w:r>
              <w:rPr>
                <w:sz w:val="17"/>
              </w:rPr>
              <w:t>Management review</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management review stage, the finance employee is expected to notice 'request to redirect account notices shortly after a change of address'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credit application platform contract has not been reviewed for duties to detect or report this red flag. Caller verification for address change requests is not defined, so staff use their own judgment. No covered-account risk assessment supports the decision to treat this account type as covered. The board or an appropriate senior employee has not approved the response options listed for this red flag. There is no scheduled date to update this worksheet to reflect changes in identity theft risks. The Finance and Insurance Manager intends to summarize this red flag in an annual report, but no report exists yet. Case-closure timing is not defined; open cases have no aging review. Program effectiveness for this red flag has not been evaluated, and no incidents of identity theft have been analyzed. The case log records the flag without copying a full identity document, as the draft instructs.</w:t>
      </w:r>
    </w:p>
    <w:p>
      <w:pPr>
        <w:pStyle w:val="Heading2"/>
      </w:pPr>
      <w:r>
        <w:t>Program administration status</w:t>
      </w:r>
    </w:p>
    <w:p>
      <w:r>
        <w:t>This worksheet for 'request to redirect account notices shortly after a change of address' has not been reviewed by the board of directors or an appropriate senior employee. The Finance and Insurance Manager plans to report identity theft trends annually, but no annual report, program effectiveness review, or update record exists yet. The service provider involved at the management review stage has not been contractually required to detect or report this red flag.</w:t>
      </w:r>
    </w:p>
    <w:p>
      <w:r>
        <w:t>Worksheet ID LAF-RF-0014. Status: draft, unresolved. These gaps are intentional in this synthetic test fixture for a fictional company and should be reported as gaps by any reviewer.</w:t>
      </w:r>
    </w:p>
    <w:p>
      <w:r>
        <w:br w:type="page"/>
      </w:r>
    </w:p>
    <w:p>
      <w:pPr>
        <w:pStyle w:val="Heading1"/>
      </w:pPr>
      <w:r>
        <w:t>Appendix F.015 - Red flag review worksheet: First payment default on a new retail installment contract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Unusual account activity</w:t>
            </w:r>
          </w:p>
        </w:tc>
      </w:tr>
      <w:tr>
        <w:tc>
          <w:tcPr>
            <w:tcW w:type="dxa" w:w="3024"/>
            <w:shd w:val="clear" w:color="auto" w:fill="F0F3F7"/>
          </w:tcPr>
          <w:p>
            <w:pPr>
              <w:spacing w:after="0"/>
            </w:pPr>
            <w:r>
              <w:rPr>
                <w:b/>
                <w:sz w:val="17"/>
              </w:rPr>
              <w:t>Red flag</w:t>
            </w:r>
          </w:p>
        </w:tc>
        <w:tc>
          <w:tcPr>
            <w:tcW w:type="dxa" w:w="7056"/>
          </w:tcPr>
          <w:p>
            <w:pPr>
              <w:spacing w:after="0"/>
            </w:pPr>
            <w:r>
              <w:rPr>
                <w:sz w:val="17"/>
              </w:rPr>
              <w:t>First payment default on a new retail installment contract</w:t>
            </w:r>
          </w:p>
        </w:tc>
      </w:tr>
      <w:tr>
        <w:tc>
          <w:tcPr>
            <w:tcW w:type="dxa" w:w="3024"/>
            <w:shd w:val="clear" w:color="auto" w:fill="F0F3F7"/>
          </w:tcPr>
          <w:p>
            <w:pPr>
              <w:spacing w:after="0"/>
            </w:pPr>
            <w:r>
              <w:rPr>
                <w:b/>
                <w:sz w:val="17"/>
              </w:rPr>
              <w:t>Detection point</w:t>
            </w:r>
          </w:p>
        </w:tc>
        <w:tc>
          <w:tcPr>
            <w:tcW w:type="dxa" w:w="7056"/>
          </w:tcPr>
          <w:p>
            <w:pPr>
              <w:spacing w:after="0"/>
            </w:pPr>
            <w:r>
              <w:rPr>
                <w:sz w:val="17"/>
              </w:rPr>
              <w:t>Identity verification service result</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identity verification service result stage, the finance employee is expected to notice 'first payment default on a new retail installment contract'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Program effectiveness for this red flag has not been evaluated, and no incidents of identity theft have been analyzed. The case log records the flag without copying a full identity document, as the draft instructs. The identity verification service is a service provider, but no one has confirmed whether it reports red flags to Lantern. The worksheet does not state who may approve an exception when a customer cannot provide additional evidence. Staff in the service department may receive address change calls, but they are not covered by any written instruction. The draft does not say how long case log entries are retained or who may access them. No metrics are collected on how often this red flag is detected, escalated, or resolved. The draft has no process to add new red flags when the dealership introduces a new financing product. No refresher training is scheduled for finance employees who handle this red flag.</w:t>
      </w:r>
    </w:p>
    <w:p>
      <w:pPr>
        <w:pStyle w:val="Heading2"/>
      </w:pPr>
      <w:r>
        <w:t>Program administration status</w:t>
      </w:r>
    </w:p>
    <w:p>
      <w:r>
        <w:t>This worksheet for 'first payment default on a new retail installment contract' has not been reviewed by the board of directors or an appropriate senior employee. The Finance and Insurance Manager plans to report identity theft trends annually, but no annual report, program effectiveness review, or update record exists yet. The service provider involved at the identity verification service result stage has not been contractually required to detect or report this red flag.</w:t>
      </w:r>
    </w:p>
    <w:p>
      <w:r>
        <w:t>Worksheet ID LAF-RF-0015. Status: draft, unresolved. These gaps are intentional in this synthetic test fixture for a fictional company and should be reported as gaps by any reviewer.</w:t>
      </w:r>
    </w:p>
    <w:p>
      <w:r>
        <w:br w:type="page"/>
      </w:r>
    </w:p>
    <w:p>
      <w:pPr>
        <w:pStyle w:val="Heading1"/>
      </w:pPr>
      <w:r>
        <w:t>Appendix F.016 - Red flag review worksheet: Mail sent to the customer is repeatedly returned while payments continue</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Unusual account activity</w:t>
            </w:r>
          </w:p>
        </w:tc>
      </w:tr>
      <w:tr>
        <w:tc>
          <w:tcPr>
            <w:tcW w:type="dxa" w:w="3024"/>
            <w:shd w:val="clear" w:color="auto" w:fill="F0F3F7"/>
          </w:tcPr>
          <w:p>
            <w:pPr>
              <w:spacing w:after="0"/>
            </w:pPr>
            <w:r>
              <w:rPr>
                <w:b/>
                <w:sz w:val="17"/>
              </w:rPr>
              <w:t>Red flag</w:t>
            </w:r>
          </w:p>
        </w:tc>
        <w:tc>
          <w:tcPr>
            <w:tcW w:type="dxa" w:w="7056"/>
          </w:tcPr>
          <w:p>
            <w:pPr>
              <w:spacing w:after="0"/>
            </w:pPr>
            <w:r>
              <w:rPr>
                <w:sz w:val="17"/>
              </w:rPr>
              <w:t>Mail sent to the customer is repeatedly returned while payments continue</w:t>
            </w:r>
          </w:p>
        </w:tc>
      </w:tr>
      <w:tr>
        <w:tc>
          <w:tcPr>
            <w:tcW w:type="dxa" w:w="3024"/>
            <w:shd w:val="clear" w:color="auto" w:fill="F0F3F7"/>
          </w:tcPr>
          <w:p>
            <w:pPr>
              <w:spacing w:after="0"/>
            </w:pPr>
            <w:r>
              <w:rPr>
                <w:b/>
                <w:sz w:val="17"/>
              </w:rPr>
              <w:t>Detection point</w:t>
            </w:r>
          </w:p>
        </w:tc>
        <w:tc>
          <w:tcPr>
            <w:tcW w:type="dxa" w:w="7056"/>
          </w:tcPr>
          <w:p>
            <w:pPr>
              <w:spacing w:after="0"/>
            </w:pPr>
            <w:r>
              <w:rPr>
                <w:sz w:val="17"/>
              </w:rPr>
              <w:t>Complaint handling</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complaint handling stage, the finance employee is expected to notice 'mail sent to the customer is repeatedly returned while payments continue'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draft has no process to add new red flags when the dealership introduces a new financing product. No refresher training is scheduled for finance employees who handle this red flag. Senior management has not received any written report on identity theft trends involving covered accounts. The response to this red flag depends on the manager's judgment because no decision criteria are written down. Returned-mail review happens when staff notice it; no schedule or log exists for this review. The draft does not set a time limit for escalating this red flag to the Finance and Insurance Manager. No field exists on the intake checklist to record which alert was resolved or how it was resolved. Staff have received verbal instruction on this red flag, but no training attendance log exists. The credit application platform contract has not been reviewed for duties to detect or report this red flag.</w:t>
      </w:r>
    </w:p>
    <w:p>
      <w:pPr>
        <w:pStyle w:val="Heading2"/>
      </w:pPr>
      <w:r>
        <w:t>Program administration status</w:t>
      </w:r>
    </w:p>
    <w:p>
      <w:r>
        <w:t>This worksheet for 'mail sent to the customer is repeatedly returned while payments continue' has not been reviewed by the board of directors or an appropriate senior employee. The Finance and Insurance Manager plans to report identity theft trends annually, but no annual report, program effectiveness review, or update record exists yet. The service provider involved at the complaint handling stage has not been contractually required to detect or report this red flag.</w:t>
      </w:r>
    </w:p>
    <w:p>
      <w:r>
        <w:t>Worksheet ID LAF-RF-0016. Status: draft, unresolved. These gaps are intentional in this synthetic test fixture for a fictional company and should be reported as gaps by any reviewer.</w:t>
      </w:r>
    </w:p>
    <w:p>
      <w:r>
        <w:br w:type="page"/>
      </w:r>
    </w:p>
    <w:p>
      <w:pPr>
        <w:pStyle w:val="Heading1"/>
      </w:pPr>
      <w:r>
        <w:t>Appendix F.017 - Red flag review worksheet: Caller requests address change and payoff quote in the same call</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Unusual account activity</w:t>
            </w:r>
          </w:p>
        </w:tc>
      </w:tr>
      <w:tr>
        <w:tc>
          <w:tcPr>
            <w:tcW w:type="dxa" w:w="3024"/>
            <w:shd w:val="clear" w:color="auto" w:fill="F0F3F7"/>
          </w:tcPr>
          <w:p>
            <w:pPr>
              <w:spacing w:after="0"/>
            </w:pPr>
            <w:r>
              <w:rPr>
                <w:b/>
                <w:sz w:val="17"/>
              </w:rPr>
              <w:t>Red flag</w:t>
            </w:r>
          </w:p>
        </w:tc>
        <w:tc>
          <w:tcPr>
            <w:tcW w:type="dxa" w:w="7056"/>
          </w:tcPr>
          <w:p>
            <w:pPr>
              <w:spacing w:after="0"/>
            </w:pPr>
            <w:r>
              <w:rPr>
                <w:sz w:val="17"/>
              </w:rPr>
              <w:t>Caller requests address change and payoff quote in the same call</w:t>
            </w:r>
          </w:p>
        </w:tc>
      </w:tr>
      <w:tr>
        <w:tc>
          <w:tcPr>
            <w:tcW w:type="dxa" w:w="3024"/>
            <w:shd w:val="clear" w:color="auto" w:fill="F0F3F7"/>
          </w:tcPr>
          <w:p>
            <w:pPr>
              <w:spacing w:after="0"/>
            </w:pPr>
            <w:r>
              <w:rPr>
                <w:b/>
                <w:sz w:val="17"/>
              </w:rPr>
              <w:t>Detection point</w:t>
            </w:r>
          </w:p>
        </w:tc>
        <w:tc>
          <w:tcPr>
            <w:tcW w:type="dxa" w:w="7056"/>
          </w:tcPr>
          <w:p>
            <w:pPr>
              <w:spacing w:after="0"/>
            </w:pPr>
            <w:r>
              <w:rPr>
                <w:sz w:val="17"/>
              </w:rPr>
              <w:t>Application intake (sales desk)</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application intake (sales desk) stage, the finance employee is expected to notice 'caller requests address change and payoff quote in the same call'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Staff have received verbal instruction on this red flag, but no training attendance log exists. The credit application platform contract has not been reviewed for duties to detect or report this red flag. Caller verification for address change requests is not defined, so staff use their own judgment. No covered-account risk assessment supports the decision to treat this account type as covered. The board or an appropriate senior employee has not approved the response options listed for this red flag. There is no scheduled date to update this worksheet to reflect changes in identity theft risks. The Finance and Insurance Manager intends to summarize this red flag in an annual report, but no report exists yet. Case-closure timing is not defined; open cases have no aging review. Program effectiveness for this red flag has not been evaluated, and no incidents of identity theft have been analyzed.</w:t>
      </w:r>
    </w:p>
    <w:p>
      <w:pPr>
        <w:pStyle w:val="Heading2"/>
      </w:pPr>
      <w:r>
        <w:t>Program administration status</w:t>
      </w:r>
    </w:p>
    <w:p>
      <w:r>
        <w:t>This worksheet for 'caller requests address change and payoff quote in the same call'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application intake (sales desk) stage has not been contractually required to detect or report this red flag.</w:t>
      </w:r>
    </w:p>
    <w:p>
      <w:r>
        <w:t>Worksheet ID LAF-RF-0017. Status: draft, unresolved. These gaps are intentional in this synthetic test fixture for a fictional company and should be reported as gaps by any reviewer.</w:t>
      </w:r>
    </w:p>
    <w:p>
      <w:r>
        <w:br w:type="page"/>
      </w:r>
    </w:p>
    <w:p>
      <w:pPr>
        <w:pStyle w:val="Heading1"/>
      </w:pPr>
      <w:r>
        <w:t>Appendix F.018 - Red flag review worksheet: Customer reports an unfamiliar account or unexpected statement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Notice from others</w:t>
            </w:r>
          </w:p>
        </w:tc>
      </w:tr>
      <w:tr>
        <w:tc>
          <w:tcPr>
            <w:tcW w:type="dxa" w:w="3024"/>
            <w:shd w:val="clear" w:color="auto" w:fill="F0F3F7"/>
          </w:tcPr>
          <w:p>
            <w:pPr>
              <w:spacing w:after="0"/>
            </w:pPr>
            <w:r>
              <w:rPr>
                <w:b/>
                <w:sz w:val="17"/>
              </w:rPr>
              <w:t>Red flag</w:t>
            </w:r>
          </w:p>
        </w:tc>
        <w:tc>
          <w:tcPr>
            <w:tcW w:type="dxa" w:w="7056"/>
          </w:tcPr>
          <w:p>
            <w:pPr>
              <w:spacing w:after="0"/>
            </w:pPr>
            <w:r>
              <w:rPr>
                <w:sz w:val="17"/>
              </w:rPr>
              <w:t>Customer reports an unfamiliar account or unexpected statement</w:t>
            </w:r>
          </w:p>
        </w:tc>
      </w:tr>
      <w:tr>
        <w:tc>
          <w:tcPr>
            <w:tcW w:type="dxa" w:w="3024"/>
            <w:shd w:val="clear" w:color="auto" w:fill="F0F3F7"/>
          </w:tcPr>
          <w:p>
            <w:pPr>
              <w:spacing w:after="0"/>
            </w:pPr>
            <w:r>
              <w:rPr>
                <w:b/>
                <w:sz w:val="17"/>
              </w:rPr>
              <w:t>Detection point</w:t>
            </w:r>
          </w:p>
        </w:tc>
        <w:tc>
          <w:tcPr>
            <w:tcW w:type="dxa" w:w="7056"/>
          </w:tcPr>
          <w:p>
            <w:pPr>
              <w:spacing w:after="0"/>
            </w:pPr>
            <w:r>
              <w:rPr>
                <w:sz w:val="17"/>
              </w:rPr>
              <w:t>Account servicing - returned mail</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account servicing - returned mail stage, the finance employee is expected to notice 'customer reports an unfamiliar account or unexpected statement'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Case-closure timing is not defined; open cases have no aging review. Program effectiveness for this red flag has not been evaluated, and no incidents of identity theft have been analyzed. The case log records the flag without copying a full identity document, as the draft instructs. The identity verification service is a service provider, but no one has confirmed whether it reports red flags to Lantern. The worksheet does not state who may approve an exception when a customer cannot provide additional evidence. Staff in the service department may receive address change calls, but they are not covered by any written instruction. The draft does not say how long case log entries are retained or who may access them. No metrics are collected on how often this red flag is detected, escalated, or resolved. The draft has no process to add new red flags when the dealership introduces a new financing product.</w:t>
      </w:r>
    </w:p>
    <w:p>
      <w:pPr>
        <w:pStyle w:val="Heading2"/>
      </w:pPr>
      <w:r>
        <w:t>Program administration status</w:t>
      </w:r>
    </w:p>
    <w:p>
      <w:r>
        <w:t>This worksheet for 'customer reports an unfamiliar account or unexpected statement'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account servicing - returned mail stage has not been contractually required to detect or report this red flag.</w:t>
      </w:r>
    </w:p>
    <w:p>
      <w:r>
        <w:t>Worksheet ID LAF-RF-0018. Status: draft, unresolved. These gaps are intentional in this synthetic test fixture for a fictional company and should be reported as gaps by any reviewer.</w:t>
      </w:r>
    </w:p>
    <w:p>
      <w:r>
        <w:br w:type="page"/>
      </w:r>
    </w:p>
    <w:p>
      <w:pPr>
        <w:pStyle w:val="Heading1"/>
      </w:pPr>
      <w:r>
        <w:t>Appendix F.019 - Red flag review worksheet: Law enforcement contacts the dealership about a financed vehicle</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Notice from others</w:t>
            </w:r>
          </w:p>
        </w:tc>
      </w:tr>
      <w:tr>
        <w:tc>
          <w:tcPr>
            <w:tcW w:type="dxa" w:w="3024"/>
            <w:shd w:val="clear" w:color="auto" w:fill="F0F3F7"/>
          </w:tcPr>
          <w:p>
            <w:pPr>
              <w:spacing w:after="0"/>
            </w:pPr>
            <w:r>
              <w:rPr>
                <w:b/>
                <w:sz w:val="17"/>
              </w:rPr>
              <w:t>Red flag</w:t>
            </w:r>
          </w:p>
        </w:tc>
        <w:tc>
          <w:tcPr>
            <w:tcW w:type="dxa" w:w="7056"/>
          </w:tcPr>
          <w:p>
            <w:pPr>
              <w:spacing w:after="0"/>
            </w:pPr>
            <w:r>
              <w:rPr>
                <w:sz w:val="17"/>
              </w:rPr>
              <w:t>Law enforcement contacts the dealership about a financed vehicle</w:t>
            </w:r>
          </w:p>
        </w:tc>
      </w:tr>
      <w:tr>
        <w:tc>
          <w:tcPr>
            <w:tcW w:type="dxa" w:w="3024"/>
            <w:shd w:val="clear" w:color="auto" w:fill="F0F3F7"/>
          </w:tcPr>
          <w:p>
            <w:pPr>
              <w:spacing w:after="0"/>
            </w:pPr>
            <w:r>
              <w:rPr>
                <w:b/>
                <w:sz w:val="17"/>
              </w:rPr>
              <w:t>Detection point</w:t>
            </w:r>
          </w:p>
        </w:tc>
        <w:tc>
          <w:tcPr>
            <w:tcW w:type="dxa" w:w="7056"/>
          </w:tcPr>
          <w:p>
            <w:pPr>
              <w:spacing w:after="0"/>
            </w:pPr>
            <w:r>
              <w:rPr>
                <w:sz w:val="17"/>
              </w:rPr>
              <w:t>Credit application platform alert</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credit application platform alert stage, the finance employee is expected to notice 'law enforcement contacts the dealership about a financed vehicle'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No metrics are collected on how often this red flag is detected, escalated, or resolved. The draft has no process to add new red flags when the dealership introduces a new financing product. No refresher training is scheduled for finance employees who handle this red flag. Senior management has not received any written report on identity theft trends involving covered accounts. The response to this red flag depends on the manager's judgment because no decision criteria are written down. Returned-mail review happens when staff notice it; no schedule or log exists for this review. The draft does not set a time limit for escalating this red flag to the Finance and Insurance Manager. No field exists on the intake checklist to record which alert was resolved or how it was resolved. Staff have received verbal instruction on this red flag, but no training attendance log exists.</w:t>
      </w:r>
    </w:p>
    <w:p>
      <w:pPr>
        <w:pStyle w:val="Heading2"/>
      </w:pPr>
      <w:r>
        <w:t>Program administration status</w:t>
      </w:r>
    </w:p>
    <w:p>
      <w:r>
        <w:t>This worksheet for 'law enforcement contacts the dealership about a financed vehicle' has not been reviewed by the board of directors or an appropriate senior employee. The Finance and Insurance Manager plans to report identity theft trends annually, but no annual report, program effectiveness review, or update record exists yet. The service provider involved at the credit application platform alert stage has not been contractually required to detect or report this red flag.</w:t>
      </w:r>
    </w:p>
    <w:p>
      <w:r>
        <w:t>Worksheet ID LAF-RF-0019. Status: draft, unresolved. These gaps are intentional in this synthetic test fixture for a fictional company and should be reported as gaps by any reviewer.</w:t>
      </w:r>
    </w:p>
    <w:p>
      <w:r>
        <w:br w:type="page"/>
      </w:r>
    </w:p>
    <w:p>
      <w:pPr>
        <w:pStyle w:val="Heading1"/>
      </w:pPr>
      <w:r>
        <w:t>Appendix F.020 - Red flag review worksheet: Identity theft victim provides a report concerning an account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Notice from others</w:t>
            </w:r>
          </w:p>
        </w:tc>
      </w:tr>
      <w:tr>
        <w:tc>
          <w:tcPr>
            <w:tcW w:type="dxa" w:w="3024"/>
            <w:shd w:val="clear" w:color="auto" w:fill="F0F3F7"/>
          </w:tcPr>
          <w:p>
            <w:pPr>
              <w:spacing w:after="0"/>
            </w:pPr>
            <w:r>
              <w:rPr>
                <w:b/>
                <w:sz w:val="17"/>
              </w:rPr>
              <w:t>Red flag</w:t>
            </w:r>
          </w:p>
        </w:tc>
        <w:tc>
          <w:tcPr>
            <w:tcW w:type="dxa" w:w="7056"/>
          </w:tcPr>
          <w:p>
            <w:pPr>
              <w:spacing w:after="0"/>
            </w:pPr>
            <w:r>
              <w:rPr>
                <w:sz w:val="17"/>
              </w:rPr>
              <w:t>Identity theft victim provides a report concerning an account</w:t>
            </w:r>
          </w:p>
        </w:tc>
      </w:tr>
      <w:tr>
        <w:tc>
          <w:tcPr>
            <w:tcW w:type="dxa" w:w="3024"/>
            <w:shd w:val="clear" w:color="auto" w:fill="F0F3F7"/>
          </w:tcPr>
          <w:p>
            <w:pPr>
              <w:spacing w:after="0"/>
            </w:pPr>
            <w:r>
              <w:rPr>
                <w:b/>
                <w:sz w:val="17"/>
              </w:rPr>
              <w:t>Detection point</w:t>
            </w:r>
          </w:p>
        </w:tc>
        <w:tc>
          <w:tcPr>
            <w:tcW w:type="dxa" w:w="7056"/>
          </w:tcPr>
          <w:p>
            <w:pPr>
              <w:spacing w:after="0"/>
            </w:pPr>
            <w:r>
              <w:rPr>
                <w:sz w:val="17"/>
              </w:rPr>
              <w:t>Application intake (F&amp;I office)</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application intake (f&amp;i office) stage, the finance employee is expected to notice 'identity theft victim provides a report concerning an account'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No field exists on the intake checklist to record which alert was resolved or how it was resolved. Staff have received verbal instruction on this red flag, but no training attendance log exists. The credit application platform contract has not been reviewed for duties to detect or report this red flag. Caller verification for address change requests is not defined, so staff use their own judgment. No covered-account risk assessment supports the decision to treat this account type as covered. The board or an appropriate senior employee has not approved the response options listed for this red flag. There is no scheduled date to update this worksheet to reflect changes in identity theft risks. The Finance and Insurance Manager intends to summarize this red flag in an annual report, but no report exists yet. Case-closure timing is not defined; open cases have no aging review.</w:t>
      </w:r>
    </w:p>
    <w:p>
      <w:pPr>
        <w:pStyle w:val="Heading2"/>
      </w:pPr>
      <w:r>
        <w:t>Program administration status</w:t>
      </w:r>
    </w:p>
    <w:p>
      <w:r>
        <w:t>This worksheet for 'identity theft victim provides a report concerning an account'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application intake (f&amp;i office) stage has not been contractually required to detect or report this red flag.</w:t>
      </w:r>
    </w:p>
    <w:p>
      <w:r>
        <w:t>Worksheet ID LAF-RF-0020. Status: draft, unresolved. These gaps are intentional in this synthetic test fixture for a fictional company and should be reported as gaps by any reviewer.</w:t>
      </w:r>
    </w:p>
    <w:p>
      <w:r>
        <w:br w:type="page"/>
      </w:r>
    </w:p>
    <w:p>
      <w:pPr>
        <w:pStyle w:val="Heading1"/>
      </w:pPr>
      <w:r>
        <w:t>Appendix F.021 - Red flag review worksheet: Fraud alert included with a consumer report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CRA alert</w:t>
            </w:r>
          </w:p>
        </w:tc>
      </w:tr>
      <w:tr>
        <w:tc>
          <w:tcPr>
            <w:tcW w:type="dxa" w:w="3024"/>
            <w:shd w:val="clear" w:color="auto" w:fill="F0F3F7"/>
          </w:tcPr>
          <w:p>
            <w:pPr>
              <w:spacing w:after="0"/>
            </w:pPr>
            <w:r>
              <w:rPr>
                <w:b/>
                <w:sz w:val="17"/>
              </w:rPr>
              <w:t>Red flag</w:t>
            </w:r>
          </w:p>
        </w:tc>
        <w:tc>
          <w:tcPr>
            <w:tcW w:type="dxa" w:w="7056"/>
          </w:tcPr>
          <w:p>
            <w:pPr>
              <w:spacing w:after="0"/>
            </w:pPr>
            <w:r>
              <w:rPr>
                <w:sz w:val="17"/>
              </w:rPr>
              <w:t>Fraud alert included with a consumer report</w:t>
            </w:r>
          </w:p>
        </w:tc>
      </w:tr>
      <w:tr>
        <w:tc>
          <w:tcPr>
            <w:tcW w:type="dxa" w:w="3024"/>
            <w:shd w:val="clear" w:color="auto" w:fill="F0F3F7"/>
          </w:tcPr>
          <w:p>
            <w:pPr>
              <w:spacing w:after="0"/>
            </w:pPr>
            <w:r>
              <w:rPr>
                <w:b/>
                <w:sz w:val="17"/>
              </w:rPr>
              <w:t>Detection point</w:t>
            </w:r>
          </w:p>
        </w:tc>
        <w:tc>
          <w:tcPr>
            <w:tcW w:type="dxa" w:w="7056"/>
          </w:tcPr>
          <w:p>
            <w:pPr>
              <w:spacing w:after="0"/>
            </w:pPr>
            <w:r>
              <w:rPr>
                <w:sz w:val="17"/>
              </w:rPr>
              <w:t>Account servicing - customer calls</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account servicing - customer calls stage, the finance employee is expected to notice 'fraud alert included with a consumer report'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Finance and Insurance Manager intends to summarize this red flag in an annual report, but no report exists yet. Case-closure timing is not defined; open cases have no aging review. Program effectiveness for this red flag has not been evaluated, and no incidents of identity theft have been analyzed. The case log records the flag without copying a full identity document, as the draft instructs. The identity verification service is a service provider, but no one has confirmed whether it reports red flags to Lantern. The worksheet does not state who may approve an exception when a customer cannot provide additional evidence. Staff in the service department may receive address change calls, but they are not covered by any written instruction. The draft does not say how long case log entries are retained or who may access them. No metrics are collected on how often this red flag is detected, escalated, or resolved.</w:t>
      </w:r>
    </w:p>
    <w:p>
      <w:pPr>
        <w:pStyle w:val="Heading2"/>
      </w:pPr>
      <w:r>
        <w:t>Program administration status</w:t>
      </w:r>
    </w:p>
    <w:p>
      <w:r>
        <w:t>This worksheet for 'fraud alert included with a consumer report'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account servicing - customer calls stage has not been contractually required to detect or report this red flag.</w:t>
      </w:r>
    </w:p>
    <w:p>
      <w:r>
        <w:t>Worksheet ID LAF-RF-0021. Status: draft, unresolved. These gaps are intentional in this synthetic test fixture for a fictional company and should be reported as gaps by any reviewer.</w:t>
      </w:r>
    </w:p>
    <w:p>
      <w:r>
        <w:br w:type="page"/>
      </w:r>
    </w:p>
    <w:p>
      <w:pPr>
        <w:pStyle w:val="Heading1"/>
      </w:pPr>
      <w:r>
        <w:t>Appendix F.022 - Red flag review worksheet: Notice of credit freeze in response to a request for a consumer report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CRA alert</w:t>
            </w:r>
          </w:p>
        </w:tc>
      </w:tr>
      <w:tr>
        <w:tc>
          <w:tcPr>
            <w:tcW w:type="dxa" w:w="3024"/>
            <w:shd w:val="clear" w:color="auto" w:fill="F0F3F7"/>
          </w:tcPr>
          <w:p>
            <w:pPr>
              <w:spacing w:after="0"/>
            </w:pPr>
            <w:r>
              <w:rPr>
                <w:b/>
                <w:sz w:val="17"/>
              </w:rPr>
              <w:t>Red flag</w:t>
            </w:r>
          </w:p>
        </w:tc>
        <w:tc>
          <w:tcPr>
            <w:tcW w:type="dxa" w:w="7056"/>
          </w:tcPr>
          <w:p>
            <w:pPr>
              <w:spacing w:after="0"/>
            </w:pPr>
            <w:r>
              <w:rPr>
                <w:sz w:val="17"/>
              </w:rPr>
              <w:t>Notice of credit freeze in response to a request for a consumer report</w:t>
            </w:r>
          </w:p>
        </w:tc>
      </w:tr>
      <w:tr>
        <w:tc>
          <w:tcPr>
            <w:tcW w:type="dxa" w:w="3024"/>
            <w:shd w:val="clear" w:color="auto" w:fill="F0F3F7"/>
          </w:tcPr>
          <w:p>
            <w:pPr>
              <w:spacing w:after="0"/>
            </w:pPr>
            <w:r>
              <w:rPr>
                <w:b/>
                <w:sz w:val="17"/>
              </w:rPr>
              <w:t>Detection point</w:t>
            </w:r>
          </w:p>
        </w:tc>
        <w:tc>
          <w:tcPr>
            <w:tcW w:type="dxa" w:w="7056"/>
          </w:tcPr>
          <w:p>
            <w:pPr>
              <w:spacing w:after="0"/>
            </w:pPr>
            <w:r>
              <w:rPr>
                <w:sz w:val="17"/>
              </w:rPr>
              <w:t>Management review</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management review stage, the finance employee is expected to notice 'notice of credit freeze in response to a request for a consumer report'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draft does not say how long case log entries are retained or who may access them. No metrics are collected on how often this red flag is detected, escalated, or resolved. The draft has no process to add new red flags when the dealership introduces a new financing product. No refresher training is scheduled for finance employees who handle this red flag. Senior management has not received any written report on identity theft trends involving covered accounts. The response to this red flag depends on the manager's judgment because no decision criteria are written down. Returned-mail review happens when staff notice it; no schedule or log exists for this review. The draft does not set a time limit for escalating this red flag to the Finance and Insurance Manager. No field exists on the intake checklist to record which alert was resolved or how it was resolved.</w:t>
      </w:r>
    </w:p>
    <w:p>
      <w:pPr>
        <w:pStyle w:val="Heading2"/>
      </w:pPr>
      <w:r>
        <w:t>Program administration status</w:t>
      </w:r>
    </w:p>
    <w:p>
      <w:r>
        <w:t>This worksheet for 'notice of credit freeze in response to a request for a consumer report' has not been reviewed by the board of directors or an appropriate senior employee. The Finance and Insurance Manager plans to report identity theft trends annually, but no annual report, program effectiveness review, or update record exists yet. The service provider involved at the management review stage has not been contractually required to detect or report this red flag.</w:t>
      </w:r>
    </w:p>
    <w:p>
      <w:r>
        <w:t>Worksheet ID LAF-RF-0022. Status: draft, unresolved. These gaps are intentional in this synthetic test fixture for a fictional company and should be reported as gaps by any reviewer.</w:t>
      </w:r>
    </w:p>
    <w:p>
      <w:r>
        <w:br w:type="page"/>
      </w:r>
    </w:p>
    <w:p>
      <w:pPr>
        <w:pStyle w:val="Heading1"/>
      </w:pPr>
      <w:r>
        <w:t>Appendix F.023 - Red flag review worksheet: Notice of address discrepancy from a consumer reporting agency</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CRA alert</w:t>
            </w:r>
          </w:p>
        </w:tc>
      </w:tr>
      <w:tr>
        <w:tc>
          <w:tcPr>
            <w:tcW w:type="dxa" w:w="3024"/>
            <w:shd w:val="clear" w:color="auto" w:fill="F0F3F7"/>
          </w:tcPr>
          <w:p>
            <w:pPr>
              <w:spacing w:after="0"/>
            </w:pPr>
            <w:r>
              <w:rPr>
                <w:b/>
                <w:sz w:val="17"/>
              </w:rPr>
              <w:t>Red flag</w:t>
            </w:r>
          </w:p>
        </w:tc>
        <w:tc>
          <w:tcPr>
            <w:tcW w:type="dxa" w:w="7056"/>
          </w:tcPr>
          <w:p>
            <w:pPr>
              <w:spacing w:after="0"/>
            </w:pPr>
            <w:r>
              <w:rPr>
                <w:sz w:val="17"/>
              </w:rPr>
              <w:t>Notice of address discrepancy from a consumer reporting agency</w:t>
            </w:r>
          </w:p>
        </w:tc>
      </w:tr>
      <w:tr>
        <w:tc>
          <w:tcPr>
            <w:tcW w:type="dxa" w:w="3024"/>
            <w:shd w:val="clear" w:color="auto" w:fill="F0F3F7"/>
          </w:tcPr>
          <w:p>
            <w:pPr>
              <w:spacing w:after="0"/>
            </w:pPr>
            <w:r>
              <w:rPr>
                <w:b/>
                <w:sz w:val="17"/>
              </w:rPr>
              <w:t>Detection point</w:t>
            </w:r>
          </w:p>
        </w:tc>
        <w:tc>
          <w:tcPr>
            <w:tcW w:type="dxa" w:w="7056"/>
          </w:tcPr>
          <w:p>
            <w:pPr>
              <w:spacing w:after="0"/>
            </w:pPr>
            <w:r>
              <w:rPr>
                <w:sz w:val="17"/>
              </w:rPr>
              <w:t>Identity verification service result</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identity verification service result stage, the finance employee is expected to notice 'notice of address discrepancy from a consumer reporting agency'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draft does not set a time limit for escalating this red flag to the Finance and Insurance Manager. No field exists on the intake checklist to record which alert was resolved or how it was resolved. Staff have received verbal instruction on this red flag, but no training attendance log exists. The credit application platform contract has not been reviewed for duties to detect or report this red flag. Caller verification for address change requests is not defined, so staff use their own judgment. No covered-account risk assessment supports the decision to treat this account type as covered. The board or an appropriate senior employee has not approved the response options listed for this red flag. There is no scheduled date to update this worksheet to reflect changes in identity theft risks. The Finance and Insurance Manager intends to summarize this red flag in an annual report, but no report exists yet.</w:t>
      </w:r>
    </w:p>
    <w:p>
      <w:pPr>
        <w:pStyle w:val="Heading2"/>
      </w:pPr>
      <w:r>
        <w:t>Program administration status</w:t>
      </w:r>
    </w:p>
    <w:p>
      <w:r>
        <w:t>This worksheet for 'notice of address discrepancy from a consumer reporting agency' has not been reviewed by the board of directors or an appropriate senior employee. The Finance and Insurance Manager plans to report identity theft trends annually, but no annual report, program effectiveness review, or update record exists yet. The service provider involved at the identity verification service result stage has not been contractually required to detect or report this red flag.</w:t>
      </w:r>
    </w:p>
    <w:p>
      <w:r>
        <w:t>Worksheet ID LAF-RF-0023. Status: draft, unresolved. These gaps are intentional in this synthetic test fixture for a fictional company and should be reported as gaps by any reviewer.</w:t>
      </w:r>
    </w:p>
    <w:p>
      <w:r>
        <w:br w:type="page"/>
      </w:r>
    </w:p>
    <w:p>
      <w:pPr>
        <w:pStyle w:val="Heading1"/>
      </w:pPr>
      <w:r>
        <w:t>Appendix F.024 - Red flag review worksheet: Consumer report shows a pattern of activity inconsistent with the applicant's history</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CRA alert</w:t>
            </w:r>
          </w:p>
        </w:tc>
      </w:tr>
      <w:tr>
        <w:tc>
          <w:tcPr>
            <w:tcW w:type="dxa" w:w="3024"/>
            <w:shd w:val="clear" w:color="auto" w:fill="F0F3F7"/>
          </w:tcPr>
          <w:p>
            <w:pPr>
              <w:spacing w:after="0"/>
            </w:pPr>
            <w:r>
              <w:rPr>
                <w:b/>
                <w:sz w:val="17"/>
              </w:rPr>
              <w:t>Red flag</w:t>
            </w:r>
          </w:p>
        </w:tc>
        <w:tc>
          <w:tcPr>
            <w:tcW w:type="dxa" w:w="7056"/>
          </w:tcPr>
          <w:p>
            <w:pPr>
              <w:spacing w:after="0"/>
            </w:pPr>
            <w:r>
              <w:rPr>
                <w:sz w:val="17"/>
              </w:rPr>
              <w:t>Consumer report shows a pattern of activity inconsistent with the applicant's history</w:t>
            </w:r>
          </w:p>
        </w:tc>
      </w:tr>
      <w:tr>
        <w:tc>
          <w:tcPr>
            <w:tcW w:type="dxa" w:w="3024"/>
            <w:shd w:val="clear" w:color="auto" w:fill="F0F3F7"/>
          </w:tcPr>
          <w:p>
            <w:pPr>
              <w:spacing w:after="0"/>
            </w:pPr>
            <w:r>
              <w:rPr>
                <w:b/>
                <w:sz w:val="17"/>
              </w:rPr>
              <w:t>Detection point</w:t>
            </w:r>
          </w:p>
        </w:tc>
        <w:tc>
          <w:tcPr>
            <w:tcW w:type="dxa" w:w="7056"/>
          </w:tcPr>
          <w:p>
            <w:pPr>
              <w:spacing w:after="0"/>
            </w:pPr>
            <w:r>
              <w:rPr>
                <w:sz w:val="17"/>
              </w:rPr>
              <w:t>Complaint handling</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complaint handling stage, the finance employee is expected to notice 'consumer report shows a pattern of activity inconsistent with the applicant's history'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There is no scheduled date to update this worksheet to reflect changes in identity theft risks. The Finance and Insurance Manager intends to summarize this red flag in an annual report, but no report exists yet. Case-closure timing is not defined; open cases have no aging review. Program effectiveness for this red flag has not been evaluated, and no incidents of identity theft have been analyzed. The case log records the flag without copying a full identity document, as the draft instructs. The identity verification service is a service provider, but no one has confirmed whether it reports red flags to Lantern. The worksheet does not state who may approve an exception when a customer cannot provide additional evidence. Staff in the service department may receive address change calls, but they are not covered by any written instruction. The draft does not say how long case log entries are retained or who may access them.</w:t>
      </w:r>
    </w:p>
    <w:p>
      <w:pPr>
        <w:pStyle w:val="Heading2"/>
      </w:pPr>
      <w:r>
        <w:t>Program administration status</w:t>
      </w:r>
    </w:p>
    <w:p>
      <w:r>
        <w:t>This worksheet for 'consumer report shows a pattern of activity inconsistent with the applicant's history' has not been reviewed by the board of directors or an appropriate senior employee. The Finance and Insurance Manager plans to report identity theft trends annually, but no annual report, program effectiveness review, or update record exists yet. The service provider involved at the complaint handling stage has not been contractually required to detect or report this red flag.</w:t>
      </w:r>
    </w:p>
    <w:p>
      <w:r>
        <w:t>Worksheet ID LAF-RF-0024. Status: draft, unresolved. These gaps are intentional in this synthetic test fixture for a fictional company and should be reported as gaps by any reviewer.</w:t>
      </w:r>
    </w:p>
    <w:p>
      <w:r>
        <w:br w:type="page"/>
      </w:r>
    </w:p>
    <w:p>
      <w:pPr>
        <w:pStyle w:val="Heading1"/>
      </w:pPr>
      <w:r>
        <w:t>Appendix F.025 - Red flag review worksheet: Identification document appears to have been altered or forged</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documents</w:t>
            </w:r>
          </w:p>
        </w:tc>
      </w:tr>
      <w:tr>
        <w:tc>
          <w:tcPr>
            <w:tcW w:type="dxa" w:w="3024"/>
            <w:shd w:val="clear" w:color="auto" w:fill="F0F3F7"/>
          </w:tcPr>
          <w:p>
            <w:pPr>
              <w:spacing w:after="0"/>
            </w:pPr>
            <w:r>
              <w:rPr>
                <w:b/>
                <w:sz w:val="17"/>
              </w:rPr>
              <w:t>Red flag</w:t>
            </w:r>
          </w:p>
        </w:tc>
        <w:tc>
          <w:tcPr>
            <w:tcW w:type="dxa" w:w="7056"/>
          </w:tcPr>
          <w:p>
            <w:pPr>
              <w:spacing w:after="0"/>
            </w:pPr>
            <w:r>
              <w:rPr>
                <w:sz w:val="17"/>
              </w:rPr>
              <w:t>Identification document appears to have been altered or forged</w:t>
            </w:r>
          </w:p>
        </w:tc>
      </w:tr>
      <w:tr>
        <w:tc>
          <w:tcPr>
            <w:tcW w:type="dxa" w:w="3024"/>
            <w:shd w:val="clear" w:color="auto" w:fill="F0F3F7"/>
          </w:tcPr>
          <w:p>
            <w:pPr>
              <w:spacing w:after="0"/>
            </w:pPr>
            <w:r>
              <w:rPr>
                <w:b/>
                <w:sz w:val="17"/>
              </w:rPr>
              <w:t>Detection point</w:t>
            </w:r>
          </w:p>
        </w:tc>
        <w:tc>
          <w:tcPr>
            <w:tcW w:type="dxa" w:w="7056"/>
          </w:tcPr>
          <w:p>
            <w:pPr>
              <w:spacing w:after="0"/>
            </w:pPr>
            <w:r>
              <w:rPr>
                <w:sz w:val="17"/>
              </w:rPr>
              <w:t>Application intake (sales desk)</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application intake (sales desk) stage, the finance employee is expected to notice 'identification document appears to have been altered or forged'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Staff in the service department may receive address change calls, but they are not covered by any written instruction. The draft does not say how long case log entries are retained or who may access them. No metrics are collected on how often this red flag is detected, escalated, or resolved. The draft has no process to add new red flags when the dealership introduces a new financing product. No refresher training is scheduled for finance employees who handle this red flag. Senior management has not received any written report on identity theft trends involving covered accounts. The response to this red flag depends on the manager's judgment because no decision criteria are written down. Returned-mail review happens when staff notice it; no schedule or log exists for this review. The draft does not set a time limit for escalating this red flag to the Finance and Insurance Manager.</w:t>
      </w:r>
    </w:p>
    <w:p>
      <w:pPr>
        <w:pStyle w:val="Heading2"/>
      </w:pPr>
      <w:r>
        <w:t>Program administration status</w:t>
      </w:r>
    </w:p>
    <w:p>
      <w:r>
        <w:t>This worksheet for 'identification document appears to have been altered or forged'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application intake (sales desk) stage has not been contractually required to detect or report this red flag.</w:t>
      </w:r>
    </w:p>
    <w:p>
      <w:r>
        <w:t>Worksheet ID LAF-RF-0025. Status: draft, unresolved. These gaps are intentional in this synthetic test fixture for a fictional company and should be reported as gaps by any reviewer.</w:t>
      </w:r>
    </w:p>
    <w:p>
      <w:r>
        <w:br w:type="page"/>
      </w:r>
    </w:p>
    <w:p>
      <w:pPr>
        <w:pStyle w:val="Heading1"/>
      </w:pPr>
      <w:r>
        <w:t>Appendix F.026 - Red flag review worksheet: Photograph or physical description on identification is inconsistent with the applicant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documents</w:t>
            </w:r>
          </w:p>
        </w:tc>
      </w:tr>
      <w:tr>
        <w:tc>
          <w:tcPr>
            <w:tcW w:type="dxa" w:w="3024"/>
            <w:shd w:val="clear" w:color="auto" w:fill="F0F3F7"/>
          </w:tcPr>
          <w:p>
            <w:pPr>
              <w:spacing w:after="0"/>
            </w:pPr>
            <w:r>
              <w:rPr>
                <w:b/>
                <w:sz w:val="17"/>
              </w:rPr>
              <w:t>Red flag</w:t>
            </w:r>
          </w:p>
        </w:tc>
        <w:tc>
          <w:tcPr>
            <w:tcW w:type="dxa" w:w="7056"/>
          </w:tcPr>
          <w:p>
            <w:pPr>
              <w:spacing w:after="0"/>
            </w:pPr>
            <w:r>
              <w:rPr>
                <w:sz w:val="17"/>
              </w:rPr>
              <w:t>Photograph or physical description on identification is inconsistent with the applicant</w:t>
            </w:r>
          </w:p>
        </w:tc>
      </w:tr>
      <w:tr>
        <w:tc>
          <w:tcPr>
            <w:tcW w:type="dxa" w:w="3024"/>
            <w:shd w:val="clear" w:color="auto" w:fill="F0F3F7"/>
          </w:tcPr>
          <w:p>
            <w:pPr>
              <w:spacing w:after="0"/>
            </w:pPr>
            <w:r>
              <w:rPr>
                <w:b/>
                <w:sz w:val="17"/>
              </w:rPr>
              <w:t>Detection point</w:t>
            </w:r>
          </w:p>
        </w:tc>
        <w:tc>
          <w:tcPr>
            <w:tcW w:type="dxa" w:w="7056"/>
          </w:tcPr>
          <w:p>
            <w:pPr>
              <w:spacing w:after="0"/>
            </w:pPr>
            <w:r>
              <w:rPr>
                <w:sz w:val="17"/>
              </w:rPr>
              <w:t>Account servicing - returned mail</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account servicing - returned mail stage, the finance employee is expected to notice 'photograph or physical description on identification is inconsistent with the applicant'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Returned-mail review happens when staff notice it; no schedule or log exists for this review. The draft does not set a time limit for escalating this red flag to the Finance and Insurance Manager. No field exists on the intake checklist to record which alert was resolved or how it was resolved. Staff have received verbal instruction on this red flag, but no training attendance log exists. The credit application platform contract has not been reviewed for duties to detect or report this red flag. Caller verification for address change requests is not defined, so staff use their own judgment. No covered-account risk assessment supports the decision to treat this account type as covered. The board or an appropriate senior employee has not approved the response options listed for this red flag. There is no scheduled date to update this worksheet to reflect changes in identity theft risks.</w:t>
      </w:r>
    </w:p>
    <w:p>
      <w:pPr>
        <w:pStyle w:val="Heading2"/>
      </w:pPr>
      <w:r>
        <w:t>Program administration status</w:t>
      </w:r>
    </w:p>
    <w:p>
      <w:r>
        <w:t>This worksheet for 'photograph or physical description on identification is inconsistent with the applicant'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account servicing - returned mail stage has not been contractually required to detect or report this red flag.</w:t>
      </w:r>
    </w:p>
    <w:p>
      <w:r>
        <w:t>Worksheet ID LAF-RF-0026. Status: draft, unresolved. These gaps are intentional in this synthetic test fixture for a fictional company and should be reported as gaps by any reviewer.</w:t>
      </w:r>
    </w:p>
    <w:p>
      <w:r>
        <w:br w:type="page"/>
      </w:r>
    </w:p>
    <w:p>
      <w:pPr>
        <w:pStyle w:val="Heading1"/>
      </w:pPr>
      <w:r>
        <w:t>Appendix F.027 - Red flag review worksheet: Other information on identification is inconsistent with the credit application</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documents</w:t>
            </w:r>
          </w:p>
        </w:tc>
      </w:tr>
      <w:tr>
        <w:tc>
          <w:tcPr>
            <w:tcW w:type="dxa" w:w="3024"/>
            <w:shd w:val="clear" w:color="auto" w:fill="F0F3F7"/>
          </w:tcPr>
          <w:p>
            <w:pPr>
              <w:spacing w:after="0"/>
            </w:pPr>
            <w:r>
              <w:rPr>
                <w:b/>
                <w:sz w:val="17"/>
              </w:rPr>
              <w:t>Red flag</w:t>
            </w:r>
          </w:p>
        </w:tc>
        <w:tc>
          <w:tcPr>
            <w:tcW w:type="dxa" w:w="7056"/>
          </w:tcPr>
          <w:p>
            <w:pPr>
              <w:spacing w:after="0"/>
            </w:pPr>
            <w:r>
              <w:rPr>
                <w:sz w:val="17"/>
              </w:rPr>
              <w:t>Other information on identification is inconsistent with the credit application</w:t>
            </w:r>
          </w:p>
        </w:tc>
      </w:tr>
      <w:tr>
        <w:tc>
          <w:tcPr>
            <w:tcW w:type="dxa" w:w="3024"/>
            <w:shd w:val="clear" w:color="auto" w:fill="F0F3F7"/>
          </w:tcPr>
          <w:p>
            <w:pPr>
              <w:spacing w:after="0"/>
            </w:pPr>
            <w:r>
              <w:rPr>
                <w:b/>
                <w:sz w:val="17"/>
              </w:rPr>
              <w:t>Detection point</w:t>
            </w:r>
          </w:p>
        </w:tc>
        <w:tc>
          <w:tcPr>
            <w:tcW w:type="dxa" w:w="7056"/>
          </w:tcPr>
          <w:p>
            <w:pPr>
              <w:spacing w:after="0"/>
            </w:pPr>
            <w:r>
              <w:rPr>
                <w:sz w:val="17"/>
              </w:rPr>
              <w:t>Credit application platform alert</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credit application platform alert stage, the finance employee is expected to notice 'other information on identification is inconsistent with the credit application'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board or an appropriate senior employee has not approved the response options listed for this red flag. There is no scheduled date to update this worksheet to reflect changes in identity theft risks. The Finance and Insurance Manager intends to summarize this red flag in an annual report, but no report exists yet. Case-closure timing is not defined; open cases have no aging review. Program effectiveness for this red flag has not been evaluated, and no incidents of identity theft have been analyzed. The case log records the flag without copying a full identity document, as the draft instructs. The identity verification service is a service provider, but no one has confirmed whether it reports red flags to Lantern. The worksheet does not state who may approve an exception when a customer cannot provide additional evidence. Staff in the service department may receive address change calls, but they are not covered by any written instruction.</w:t>
      </w:r>
    </w:p>
    <w:p>
      <w:pPr>
        <w:pStyle w:val="Heading2"/>
      </w:pPr>
      <w:r>
        <w:t>Program administration status</w:t>
      </w:r>
    </w:p>
    <w:p>
      <w:r>
        <w:t>This worksheet for 'other information on identification is inconsistent with the credit application' has not been reviewed by the board of directors or an appropriate senior employee. The Finance and Insurance Manager plans to report identity theft trends annually, but no annual report, program effectiveness review, or update record exists yet. The service provider involved at the credit application platform alert stage has not been contractually required to detect or report this red flag.</w:t>
      </w:r>
    </w:p>
    <w:p>
      <w:r>
        <w:t>Worksheet ID LAF-RF-0027. Status: draft, unresolved. These gaps are intentional in this synthetic test fixture for a fictional company and should be reported as gaps by any reviewer.</w:t>
      </w:r>
    </w:p>
    <w:p>
      <w:r>
        <w:br w:type="page"/>
      </w:r>
    </w:p>
    <w:p>
      <w:pPr>
        <w:pStyle w:val="Heading1"/>
      </w:pPr>
      <w:r>
        <w:t>Appendix F.028 - Red flag review worksheet: Application appears altered, or destroyed and reassembled</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documents</w:t>
            </w:r>
          </w:p>
        </w:tc>
      </w:tr>
      <w:tr>
        <w:tc>
          <w:tcPr>
            <w:tcW w:type="dxa" w:w="3024"/>
            <w:shd w:val="clear" w:color="auto" w:fill="F0F3F7"/>
          </w:tcPr>
          <w:p>
            <w:pPr>
              <w:spacing w:after="0"/>
            </w:pPr>
            <w:r>
              <w:rPr>
                <w:b/>
                <w:sz w:val="17"/>
              </w:rPr>
              <w:t>Red flag</w:t>
            </w:r>
          </w:p>
        </w:tc>
        <w:tc>
          <w:tcPr>
            <w:tcW w:type="dxa" w:w="7056"/>
          </w:tcPr>
          <w:p>
            <w:pPr>
              <w:spacing w:after="0"/>
            </w:pPr>
            <w:r>
              <w:rPr>
                <w:sz w:val="17"/>
              </w:rPr>
              <w:t>Application appears altered, or destroyed and reassembled</w:t>
            </w:r>
          </w:p>
        </w:tc>
      </w:tr>
      <w:tr>
        <w:tc>
          <w:tcPr>
            <w:tcW w:type="dxa" w:w="3024"/>
            <w:shd w:val="clear" w:color="auto" w:fill="F0F3F7"/>
          </w:tcPr>
          <w:p>
            <w:pPr>
              <w:spacing w:after="0"/>
            </w:pPr>
            <w:r>
              <w:rPr>
                <w:b/>
                <w:sz w:val="17"/>
              </w:rPr>
              <w:t>Detection point</w:t>
            </w:r>
          </w:p>
        </w:tc>
        <w:tc>
          <w:tcPr>
            <w:tcW w:type="dxa" w:w="7056"/>
          </w:tcPr>
          <w:p>
            <w:pPr>
              <w:spacing w:after="0"/>
            </w:pPr>
            <w:r>
              <w:rPr>
                <w:sz w:val="17"/>
              </w:rPr>
              <w:t>Application intake (F&amp;I office)</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application intake (f&amp;i office) stage, the finance employee is expected to notice 'application appears altered, or destroyed and reassembled'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worksheet does not state who may approve an exception when a customer cannot provide additional evidence. Staff in the service department may receive address change calls, but they are not covered by any written instruction. The draft does not say how long case log entries are retained or who may access them. No metrics are collected on how often this red flag is detected, escalated, or resolved. The draft has no process to add new red flags when the dealership introduces a new financing product. No refresher training is scheduled for finance employees who handle this red flag. Senior management has not received any written report on identity theft trends involving covered accounts. The response to this red flag depends on the manager's judgment because no decision criteria are written down. Returned-mail review happens when staff notice it; no schedule or log exists for this review.</w:t>
      </w:r>
    </w:p>
    <w:p>
      <w:pPr>
        <w:pStyle w:val="Heading2"/>
      </w:pPr>
      <w:r>
        <w:t>Program administration status</w:t>
      </w:r>
    </w:p>
    <w:p>
      <w:r>
        <w:t>This worksheet for 'application appears altered, or destroyed and reassembled'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application intake (f&amp;i office) stage has not been contractually required to detect or report this red flag.</w:t>
      </w:r>
    </w:p>
    <w:p>
      <w:r>
        <w:t>Worksheet ID LAF-RF-0028. Status: draft, unresolved. These gaps are intentional in this synthetic test fixture for a fictional company and should be reported as gaps by any reviewer.</w:t>
      </w:r>
    </w:p>
    <w:p>
      <w:r>
        <w:br w:type="page"/>
      </w:r>
    </w:p>
    <w:p>
      <w:pPr>
        <w:pStyle w:val="Heading1"/>
      </w:pPr>
      <w:r>
        <w:t>Appendix F.029 - Red flag review worksheet: Address does not match information from external sources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identifying information</w:t>
            </w:r>
          </w:p>
        </w:tc>
      </w:tr>
      <w:tr>
        <w:tc>
          <w:tcPr>
            <w:tcW w:type="dxa" w:w="3024"/>
            <w:shd w:val="clear" w:color="auto" w:fill="F0F3F7"/>
          </w:tcPr>
          <w:p>
            <w:pPr>
              <w:spacing w:after="0"/>
            </w:pPr>
            <w:r>
              <w:rPr>
                <w:b/>
                <w:sz w:val="17"/>
              </w:rPr>
              <w:t>Red flag</w:t>
            </w:r>
          </w:p>
        </w:tc>
        <w:tc>
          <w:tcPr>
            <w:tcW w:type="dxa" w:w="7056"/>
          </w:tcPr>
          <w:p>
            <w:pPr>
              <w:spacing w:after="0"/>
            </w:pPr>
            <w:r>
              <w:rPr>
                <w:sz w:val="17"/>
              </w:rPr>
              <w:t>Address does not match information from external sources</w:t>
            </w:r>
          </w:p>
        </w:tc>
      </w:tr>
      <w:tr>
        <w:tc>
          <w:tcPr>
            <w:tcW w:type="dxa" w:w="3024"/>
            <w:shd w:val="clear" w:color="auto" w:fill="F0F3F7"/>
          </w:tcPr>
          <w:p>
            <w:pPr>
              <w:spacing w:after="0"/>
            </w:pPr>
            <w:r>
              <w:rPr>
                <w:b/>
                <w:sz w:val="17"/>
              </w:rPr>
              <w:t>Detection point</w:t>
            </w:r>
          </w:p>
        </w:tc>
        <w:tc>
          <w:tcPr>
            <w:tcW w:type="dxa" w:w="7056"/>
          </w:tcPr>
          <w:p>
            <w:pPr>
              <w:spacing w:after="0"/>
            </w:pPr>
            <w:r>
              <w:rPr>
                <w:sz w:val="17"/>
              </w:rPr>
              <w:t>Account servicing - customer calls</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account servicing - customer calls stage, the finance employee is expected to notice 'address does not match information from external sources'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response to this red flag depends on the manager's judgment because no decision criteria are written down. Returned-mail review happens when staff notice it; no schedule or log exists for this review. The draft does not set a time limit for escalating this red flag to the Finance and Insurance Manager. No field exists on the intake checklist to record which alert was resolved or how it was resolved. Staff have received verbal instruction on this red flag, but no training attendance log exists. The credit application platform contract has not been reviewed for duties to detect or report this red flag. Caller verification for address change requests is not defined, so staff use their own judgment. No covered-account risk assessment supports the decision to treat this account type as covered. The board or an appropriate senior employee has not approved the response options listed for this red flag.</w:t>
      </w:r>
    </w:p>
    <w:p>
      <w:pPr>
        <w:pStyle w:val="Heading2"/>
      </w:pPr>
      <w:r>
        <w:t>Program administration status</w:t>
      </w:r>
    </w:p>
    <w:p>
      <w:r>
        <w:t>This worksheet for 'address does not match information from external sources'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account servicing - customer calls stage has not been contractually required to detect or report this red flag.</w:t>
      </w:r>
    </w:p>
    <w:p>
      <w:r>
        <w:t>Worksheet ID LAF-RF-0029. Status: draft, unresolved. These gaps are intentional in this synthetic test fixture for a fictional company and should be reported as gaps by any reviewer.</w:t>
      </w:r>
    </w:p>
    <w:p>
      <w:r>
        <w:br w:type="page"/>
      </w:r>
    </w:p>
    <w:p>
      <w:pPr>
        <w:pStyle w:val="Heading1"/>
      </w:pPr>
      <w:r>
        <w:t>Appendix F.030 - Red flag review worksheet: SSN has not been issued or is listed on a death master file</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identifying information</w:t>
            </w:r>
          </w:p>
        </w:tc>
      </w:tr>
      <w:tr>
        <w:tc>
          <w:tcPr>
            <w:tcW w:type="dxa" w:w="3024"/>
            <w:shd w:val="clear" w:color="auto" w:fill="F0F3F7"/>
          </w:tcPr>
          <w:p>
            <w:pPr>
              <w:spacing w:after="0"/>
            </w:pPr>
            <w:r>
              <w:rPr>
                <w:b/>
                <w:sz w:val="17"/>
              </w:rPr>
              <w:t>Red flag</w:t>
            </w:r>
          </w:p>
        </w:tc>
        <w:tc>
          <w:tcPr>
            <w:tcW w:type="dxa" w:w="7056"/>
          </w:tcPr>
          <w:p>
            <w:pPr>
              <w:spacing w:after="0"/>
            </w:pPr>
            <w:r>
              <w:rPr>
                <w:sz w:val="17"/>
              </w:rPr>
              <w:t>SSN has not been issued or is listed on a death master file</w:t>
            </w:r>
          </w:p>
        </w:tc>
      </w:tr>
      <w:tr>
        <w:tc>
          <w:tcPr>
            <w:tcW w:type="dxa" w:w="3024"/>
            <w:shd w:val="clear" w:color="auto" w:fill="F0F3F7"/>
          </w:tcPr>
          <w:p>
            <w:pPr>
              <w:spacing w:after="0"/>
            </w:pPr>
            <w:r>
              <w:rPr>
                <w:b/>
                <w:sz w:val="17"/>
              </w:rPr>
              <w:t>Detection point</w:t>
            </w:r>
          </w:p>
        </w:tc>
        <w:tc>
          <w:tcPr>
            <w:tcW w:type="dxa" w:w="7056"/>
          </w:tcPr>
          <w:p>
            <w:pPr>
              <w:spacing w:after="0"/>
            </w:pPr>
            <w:r>
              <w:rPr>
                <w:sz w:val="17"/>
              </w:rPr>
              <w:t>Management review</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management review stage, the finance employee is expected to notice 'ssn has not been issued or is listed on a death master file'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No covered-account risk assessment supports the decision to treat this account type as covered. The board or an appropriate senior employee has not approved the response options listed for this red flag. There is no scheduled date to update this worksheet to reflect changes in identity theft risks. The Finance and Insurance Manager intends to summarize this red flag in an annual report, but no report exists yet. Case-closure timing is not defined; open cases have no aging review. Program effectiveness for this red flag has not been evaluated, and no incidents of identity theft have been analyzed. The case log records the flag without copying a full identity document, as the draft instructs. The identity verification service is a service provider, but no one has confirmed whether it reports red flags to Lantern.</w:t>
      </w:r>
    </w:p>
    <w:p>
      <w:pPr>
        <w:pStyle w:val="Heading2"/>
      </w:pPr>
      <w:r>
        <w:t>Program administration status</w:t>
      </w:r>
    </w:p>
    <w:p>
      <w:r>
        <w:t>This worksheet for 'ssn has not been issued or is listed on a death master file' has not been reviewed by the board of directors or an appropriate senior employee. The Finance and Insurance Manager plans to report identity theft trends annually, but no annual report, program effectiveness review, or update record exists yet. The service provider involved at the management review stage has not been contractually required to detect or report this red flag.</w:t>
      </w:r>
    </w:p>
    <w:p>
      <w:r>
        <w:t>Worksheet ID LAF-RF-0030. Status: draft, unresolved. These gaps are intentional in this synthetic test fixture for a fictional company and should be reported as gaps by any reviewer.</w:t>
      </w:r>
    </w:p>
    <w:p>
      <w:r>
        <w:br w:type="page"/>
      </w:r>
    </w:p>
    <w:p>
      <w:pPr>
        <w:pStyle w:val="Heading1"/>
      </w:pPr>
      <w:r>
        <w:t>Appendix F.031 - Red flag review worksheet: Address or phone number is associated with known fraudulent applications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identifying information</w:t>
            </w:r>
          </w:p>
        </w:tc>
      </w:tr>
      <w:tr>
        <w:tc>
          <w:tcPr>
            <w:tcW w:type="dxa" w:w="3024"/>
            <w:shd w:val="clear" w:color="auto" w:fill="F0F3F7"/>
          </w:tcPr>
          <w:p>
            <w:pPr>
              <w:spacing w:after="0"/>
            </w:pPr>
            <w:r>
              <w:rPr>
                <w:b/>
                <w:sz w:val="17"/>
              </w:rPr>
              <w:t>Red flag</w:t>
            </w:r>
          </w:p>
        </w:tc>
        <w:tc>
          <w:tcPr>
            <w:tcW w:type="dxa" w:w="7056"/>
          </w:tcPr>
          <w:p>
            <w:pPr>
              <w:spacing w:after="0"/>
            </w:pPr>
            <w:r>
              <w:rPr>
                <w:sz w:val="17"/>
              </w:rPr>
              <w:t>Address or phone number is associated with known fraudulent applications</w:t>
            </w:r>
          </w:p>
        </w:tc>
      </w:tr>
      <w:tr>
        <w:tc>
          <w:tcPr>
            <w:tcW w:type="dxa" w:w="3024"/>
            <w:shd w:val="clear" w:color="auto" w:fill="F0F3F7"/>
          </w:tcPr>
          <w:p>
            <w:pPr>
              <w:spacing w:after="0"/>
            </w:pPr>
            <w:r>
              <w:rPr>
                <w:b/>
                <w:sz w:val="17"/>
              </w:rPr>
              <w:t>Detection point</w:t>
            </w:r>
          </w:p>
        </w:tc>
        <w:tc>
          <w:tcPr>
            <w:tcW w:type="dxa" w:w="7056"/>
          </w:tcPr>
          <w:p>
            <w:pPr>
              <w:spacing w:after="0"/>
            </w:pPr>
            <w:r>
              <w:rPr>
                <w:sz w:val="17"/>
              </w:rPr>
              <w:t>Identity verification service result</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identity verification service result stage, the finance employee is expected to notice 'address or phone number is associated with known fraudulent applications'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identity verification service is a service provider, but no one has confirmed whether it reports red flags to Lantern. The worksheet does not state who may approve an exception when a customer cannot provide additional evidence. Staff in the service department may receive address change calls, but they are not covered by any written instruction. The draft does not say how long case log entries are retained or who may access them. No metrics are collected on how often this red flag is detected, escalated, or resolved. The draft has no process to add new red flags when the dealership introduces a new financing product. No refresher training is scheduled for finance employees who handle this red flag. Senior management has not received any written report on identity theft trends involving covered accounts.</w:t>
      </w:r>
    </w:p>
    <w:p>
      <w:pPr>
        <w:pStyle w:val="Heading2"/>
      </w:pPr>
      <w:r>
        <w:t>Program administration status</w:t>
      </w:r>
    </w:p>
    <w:p>
      <w:r>
        <w:t>This worksheet for 'address or phone number is associated with known fraudulent applications' has not been reviewed by the board of directors or an appropriate senior employee. The Finance and Insurance Manager plans to report identity theft trends annually, but no annual report, program effectiveness review, or update record exists yet. The service provider involved at the identity verification service result stage has not been contractually required to detect or report this red flag.</w:t>
      </w:r>
    </w:p>
    <w:p>
      <w:r>
        <w:t>Worksheet ID LAF-RF-0031. Status: draft, unresolved. These gaps are intentional in this synthetic test fixture for a fictional company and should be reported as gaps by any reviewer.</w:t>
      </w:r>
    </w:p>
    <w:p>
      <w:r>
        <w:br w:type="page"/>
      </w:r>
    </w:p>
    <w:p>
      <w:pPr>
        <w:pStyle w:val="Heading1"/>
      </w:pPr>
      <w:r>
        <w:t>Appendix F.032 - Red flag review worksheet: SSN or address is the same as that submitted by other applicants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identifying information</w:t>
            </w:r>
          </w:p>
        </w:tc>
      </w:tr>
      <w:tr>
        <w:tc>
          <w:tcPr>
            <w:tcW w:type="dxa" w:w="3024"/>
            <w:shd w:val="clear" w:color="auto" w:fill="F0F3F7"/>
          </w:tcPr>
          <w:p>
            <w:pPr>
              <w:spacing w:after="0"/>
            </w:pPr>
            <w:r>
              <w:rPr>
                <w:b/>
                <w:sz w:val="17"/>
              </w:rPr>
              <w:t>Red flag</w:t>
            </w:r>
          </w:p>
        </w:tc>
        <w:tc>
          <w:tcPr>
            <w:tcW w:type="dxa" w:w="7056"/>
          </w:tcPr>
          <w:p>
            <w:pPr>
              <w:spacing w:after="0"/>
            </w:pPr>
            <w:r>
              <w:rPr>
                <w:sz w:val="17"/>
              </w:rPr>
              <w:t>SSN or address is the same as that submitted by other applicants</w:t>
            </w:r>
          </w:p>
        </w:tc>
      </w:tr>
      <w:tr>
        <w:tc>
          <w:tcPr>
            <w:tcW w:type="dxa" w:w="3024"/>
            <w:shd w:val="clear" w:color="auto" w:fill="F0F3F7"/>
          </w:tcPr>
          <w:p>
            <w:pPr>
              <w:spacing w:after="0"/>
            </w:pPr>
            <w:r>
              <w:rPr>
                <w:b/>
                <w:sz w:val="17"/>
              </w:rPr>
              <w:t>Detection point</w:t>
            </w:r>
          </w:p>
        </w:tc>
        <w:tc>
          <w:tcPr>
            <w:tcW w:type="dxa" w:w="7056"/>
          </w:tcPr>
          <w:p>
            <w:pPr>
              <w:spacing w:after="0"/>
            </w:pPr>
            <w:r>
              <w:rPr>
                <w:sz w:val="17"/>
              </w:rPr>
              <w:t>Complaint handling</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complaint handling stage, the finance employee is expected to notice 'ssn or address is the same as that submitted by other applicants'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Senior management has not received any written report on identity theft trends involving covered accounts. The response to this red flag depends on the manager's judgment because no decision criteria are written down. Returned-mail review happens when staff notice it; no schedule or log exists for this review. The draft does not set a time limit for escalating this red flag to the Finance and Insurance Manager. No field exists on the intake checklist to record which alert was resolved or how it was resolved. Staff have received verbal instruction on this red flag, but no training attendance log exists. The credit application platform contract has not been reviewed for duties to detect or report this red flag. Caller verification for address change requests is not defined, so staff use their own judgment.</w:t>
      </w:r>
    </w:p>
    <w:p>
      <w:pPr>
        <w:pStyle w:val="Heading2"/>
      </w:pPr>
      <w:r>
        <w:t>Program administration status</w:t>
      </w:r>
    </w:p>
    <w:p>
      <w:r>
        <w:t>This worksheet for 'ssn or address is the same as that submitted by other applicants' has not been reviewed by the board of directors or an appropriate senior employee. The Finance and Insurance Manager plans to report identity theft trends annually, but no annual report, program effectiveness review, or update record exists yet. The service provider involved at the complaint handling stage has not been contractually required to detect or report this red flag.</w:t>
      </w:r>
    </w:p>
    <w:p>
      <w:r>
        <w:t>Worksheet ID LAF-RF-0032. Status: draft, unresolved. These gaps are intentional in this synthetic test fixture for a fictional company and should be reported as gaps by any reviewer.</w:t>
      </w:r>
    </w:p>
    <w:p>
      <w:r>
        <w:br w:type="page"/>
      </w:r>
    </w:p>
    <w:p>
      <w:pPr>
        <w:pStyle w:val="Heading1"/>
      </w:pPr>
      <w:r>
        <w:t>Appendix F.033 - Red flag review worksheet: Applicant cannot provide authenticating information beyond what is in a wallet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Suspicious identifying information</w:t>
            </w:r>
          </w:p>
        </w:tc>
      </w:tr>
      <w:tr>
        <w:tc>
          <w:tcPr>
            <w:tcW w:type="dxa" w:w="3024"/>
            <w:shd w:val="clear" w:color="auto" w:fill="F0F3F7"/>
          </w:tcPr>
          <w:p>
            <w:pPr>
              <w:spacing w:after="0"/>
            </w:pPr>
            <w:r>
              <w:rPr>
                <w:b/>
                <w:sz w:val="17"/>
              </w:rPr>
              <w:t>Red flag</w:t>
            </w:r>
          </w:p>
        </w:tc>
        <w:tc>
          <w:tcPr>
            <w:tcW w:type="dxa" w:w="7056"/>
          </w:tcPr>
          <w:p>
            <w:pPr>
              <w:spacing w:after="0"/>
            </w:pPr>
            <w:r>
              <w:rPr>
                <w:sz w:val="17"/>
              </w:rPr>
              <w:t>Applicant cannot provide authenticating information beyond what is in a wallet</w:t>
            </w:r>
          </w:p>
        </w:tc>
      </w:tr>
      <w:tr>
        <w:tc>
          <w:tcPr>
            <w:tcW w:type="dxa" w:w="3024"/>
            <w:shd w:val="clear" w:color="auto" w:fill="F0F3F7"/>
          </w:tcPr>
          <w:p>
            <w:pPr>
              <w:spacing w:after="0"/>
            </w:pPr>
            <w:r>
              <w:rPr>
                <w:b/>
                <w:sz w:val="17"/>
              </w:rPr>
              <w:t>Detection point</w:t>
            </w:r>
          </w:p>
        </w:tc>
        <w:tc>
          <w:tcPr>
            <w:tcW w:type="dxa" w:w="7056"/>
          </w:tcPr>
          <w:p>
            <w:pPr>
              <w:spacing w:after="0"/>
            </w:pPr>
            <w:r>
              <w:rPr>
                <w:sz w:val="17"/>
              </w:rPr>
              <w:t>Application intake (sales desk)</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application intake (sales desk) stage, the finance employee is expected to notice 'applicant cannot provide authenticating information beyond what is in a wallet'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Caller verification for address change requests is not defined, so staff use their own judgment. No covered-account risk assessment supports the decision to treat this account type as covered. The board or an appropriate senior employee has not approved the response options listed for this red flag. There is no scheduled date to update this worksheet to reflect changes in identity theft risks. The Finance and Insurance Manager intends to summarize this red flag in an annual report, but no report exists yet. Case-closure timing is not defined; open cases have no aging review. Program effectiveness for this red flag has not been evaluated, and no incidents of identity theft have been analyzed. The case log records the flag without copying a full identity document, as the draft instructs.</w:t>
      </w:r>
    </w:p>
    <w:p>
      <w:pPr>
        <w:pStyle w:val="Heading2"/>
      </w:pPr>
      <w:r>
        <w:t>Program administration status</w:t>
      </w:r>
    </w:p>
    <w:p>
      <w:r>
        <w:t>This worksheet for 'applicant cannot provide authenticating information beyond what is in a wallet'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application intake (sales desk) stage has not been contractually required to detect or report this red flag.</w:t>
      </w:r>
    </w:p>
    <w:p>
      <w:r>
        <w:t>Worksheet ID LAF-RF-0033. Status: draft, unresolved. These gaps are intentional in this synthetic test fixture for a fictional company and should be reported as gaps by any reviewer.</w:t>
      </w:r>
    </w:p>
    <w:p>
      <w:r>
        <w:br w:type="page"/>
      </w:r>
    </w:p>
    <w:p>
      <w:pPr>
        <w:pStyle w:val="Heading1"/>
      </w:pPr>
      <w:r>
        <w:t>Appendix F.034 - Red flag review worksheet: Request to redirect account notices shortly after a change of address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Unusual account activity</w:t>
            </w:r>
          </w:p>
        </w:tc>
      </w:tr>
      <w:tr>
        <w:tc>
          <w:tcPr>
            <w:tcW w:type="dxa" w:w="3024"/>
            <w:shd w:val="clear" w:color="auto" w:fill="F0F3F7"/>
          </w:tcPr>
          <w:p>
            <w:pPr>
              <w:spacing w:after="0"/>
            </w:pPr>
            <w:r>
              <w:rPr>
                <w:b/>
                <w:sz w:val="17"/>
              </w:rPr>
              <w:t>Red flag</w:t>
            </w:r>
          </w:p>
        </w:tc>
        <w:tc>
          <w:tcPr>
            <w:tcW w:type="dxa" w:w="7056"/>
          </w:tcPr>
          <w:p>
            <w:pPr>
              <w:spacing w:after="0"/>
            </w:pPr>
            <w:r>
              <w:rPr>
                <w:sz w:val="17"/>
              </w:rPr>
              <w:t>Request to redirect account notices shortly after a change of address</w:t>
            </w:r>
          </w:p>
        </w:tc>
      </w:tr>
      <w:tr>
        <w:tc>
          <w:tcPr>
            <w:tcW w:type="dxa" w:w="3024"/>
            <w:shd w:val="clear" w:color="auto" w:fill="F0F3F7"/>
          </w:tcPr>
          <w:p>
            <w:pPr>
              <w:spacing w:after="0"/>
            </w:pPr>
            <w:r>
              <w:rPr>
                <w:b/>
                <w:sz w:val="17"/>
              </w:rPr>
              <w:t>Detection point</w:t>
            </w:r>
          </w:p>
        </w:tc>
        <w:tc>
          <w:tcPr>
            <w:tcW w:type="dxa" w:w="7056"/>
          </w:tcPr>
          <w:p>
            <w:pPr>
              <w:spacing w:after="0"/>
            </w:pPr>
            <w:r>
              <w:rPr>
                <w:sz w:val="17"/>
              </w:rPr>
              <w:t>Account servicing - returned mail</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account servicing - returned mail stage, the finance employee is expected to notice 'request to redirect account notices shortly after a change of address'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case log records the flag without copying a full identity document, as the draft instructs. The identity verification service is a service provider, but no one has confirmed whether it reports red flags to Lantern. The worksheet does not state who may approve an exception when a customer cannot provide additional evidence. Staff in the service department may receive address change calls, but they are not covered by any written instruction. The draft does not say how long case log entries are retained or who may access them. No metrics are collected on how often this red flag is detected, escalated, or resolved. The draft has no process to add new red flags when the dealership introduces a new financing product. No refresher training is scheduled for finance employees who handle this red flag.</w:t>
      </w:r>
    </w:p>
    <w:p>
      <w:pPr>
        <w:pStyle w:val="Heading2"/>
      </w:pPr>
      <w:r>
        <w:t>Program administration status</w:t>
      </w:r>
    </w:p>
    <w:p>
      <w:r>
        <w:t>This worksheet for 'request to redirect account notices shortly after a change of address'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account servicing - returned mail stage has not been contractually required to detect or report this red flag.</w:t>
      </w:r>
    </w:p>
    <w:p>
      <w:r>
        <w:t>Worksheet ID LAF-RF-0034. Status: draft, unresolved. These gaps are intentional in this synthetic test fixture for a fictional company and should be reported as gaps by any reviewer.</w:t>
      </w:r>
    </w:p>
    <w:p>
      <w:r>
        <w:br w:type="page"/>
      </w:r>
    </w:p>
    <w:p>
      <w:pPr>
        <w:pStyle w:val="Heading1"/>
      </w:pPr>
      <w:r>
        <w:t>Appendix F.035 - Red flag review worksheet: First payment default on a new retail installment contract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Unusual account activity</w:t>
            </w:r>
          </w:p>
        </w:tc>
      </w:tr>
      <w:tr>
        <w:tc>
          <w:tcPr>
            <w:tcW w:type="dxa" w:w="3024"/>
            <w:shd w:val="clear" w:color="auto" w:fill="F0F3F7"/>
          </w:tcPr>
          <w:p>
            <w:pPr>
              <w:spacing w:after="0"/>
            </w:pPr>
            <w:r>
              <w:rPr>
                <w:b/>
                <w:sz w:val="17"/>
              </w:rPr>
              <w:t>Red flag</w:t>
            </w:r>
          </w:p>
        </w:tc>
        <w:tc>
          <w:tcPr>
            <w:tcW w:type="dxa" w:w="7056"/>
          </w:tcPr>
          <w:p>
            <w:pPr>
              <w:spacing w:after="0"/>
            </w:pPr>
            <w:r>
              <w:rPr>
                <w:sz w:val="17"/>
              </w:rPr>
              <w:t>First payment default on a new retail installment contract</w:t>
            </w:r>
          </w:p>
        </w:tc>
      </w:tr>
      <w:tr>
        <w:tc>
          <w:tcPr>
            <w:tcW w:type="dxa" w:w="3024"/>
            <w:shd w:val="clear" w:color="auto" w:fill="F0F3F7"/>
          </w:tcPr>
          <w:p>
            <w:pPr>
              <w:spacing w:after="0"/>
            </w:pPr>
            <w:r>
              <w:rPr>
                <w:b/>
                <w:sz w:val="17"/>
              </w:rPr>
              <w:t>Detection point</w:t>
            </w:r>
          </w:p>
        </w:tc>
        <w:tc>
          <w:tcPr>
            <w:tcW w:type="dxa" w:w="7056"/>
          </w:tcPr>
          <w:p>
            <w:pPr>
              <w:spacing w:after="0"/>
            </w:pPr>
            <w:r>
              <w:rPr>
                <w:sz w:val="17"/>
              </w:rPr>
              <w:t>Credit application platform alert</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credit application platform alert stage, the finance employee is expected to notice 'first payment default on a new retail installment contract'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No refresher training is scheduled for finance employees who handle this red flag. Senior management has not received any written report on identity theft trends involving covered accounts. The response to this red flag depends on the manager's judgment because no decision criteria are written down. Returned-mail review happens when staff notice it; no schedule or log exists for this review. The draft does not set a time limit for escalating this red flag to the Finance and Insurance Manager. No field exists on the intake checklist to record which alert was resolved or how it was resolved. Staff have received verbal instruction on this red flag, but no training attendance log exists. The credit application platform contract has not been reviewed for duties to detect or report this red flag.</w:t>
      </w:r>
    </w:p>
    <w:p>
      <w:pPr>
        <w:pStyle w:val="Heading2"/>
      </w:pPr>
      <w:r>
        <w:t>Program administration status</w:t>
      </w:r>
    </w:p>
    <w:p>
      <w:r>
        <w:t>This worksheet for 'first payment default on a new retail installment contract' has not been reviewed by the board of directors or an appropriate senior employee. The Finance and Insurance Manager plans to report identity theft trends annually, but no annual report, program effectiveness review, or update record exists yet. The service provider involved at the credit application platform alert stage has not been contractually required to detect or report this red flag.</w:t>
      </w:r>
    </w:p>
    <w:p>
      <w:r>
        <w:t>Worksheet ID LAF-RF-0035. Status: draft, unresolved. These gaps are intentional in this synthetic test fixture for a fictional company and should be reported as gaps by any reviewer.</w:t>
      </w:r>
    </w:p>
    <w:p>
      <w:r>
        <w:br w:type="page"/>
      </w:r>
    </w:p>
    <w:p>
      <w:pPr>
        <w:pStyle w:val="Heading1"/>
      </w:pPr>
      <w:r>
        <w:t>Appendix F.036 - Red flag review worksheet: Mail sent to the customer is repeatedly returned while payments continue</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Red flag category</w:t>
            </w:r>
          </w:p>
        </w:tc>
        <w:tc>
          <w:tcPr>
            <w:tcW w:type="dxa" w:w="7056"/>
          </w:tcPr>
          <w:p>
            <w:pPr>
              <w:spacing w:after="0"/>
            </w:pPr>
            <w:r>
              <w:rPr>
                <w:sz w:val="17"/>
              </w:rPr>
              <w:t>Unusual account activity</w:t>
            </w:r>
          </w:p>
        </w:tc>
      </w:tr>
      <w:tr>
        <w:tc>
          <w:tcPr>
            <w:tcW w:type="dxa" w:w="3024"/>
            <w:shd w:val="clear" w:color="auto" w:fill="F0F3F7"/>
          </w:tcPr>
          <w:p>
            <w:pPr>
              <w:spacing w:after="0"/>
            </w:pPr>
            <w:r>
              <w:rPr>
                <w:b/>
                <w:sz w:val="17"/>
              </w:rPr>
              <w:t>Red flag</w:t>
            </w:r>
          </w:p>
        </w:tc>
        <w:tc>
          <w:tcPr>
            <w:tcW w:type="dxa" w:w="7056"/>
          </w:tcPr>
          <w:p>
            <w:pPr>
              <w:spacing w:after="0"/>
            </w:pPr>
            <w:r>
              <w:rPr>
                <w:sz w:val="17"/>
              </w:rPr>
              <w:t>Mail sent to the customer is repeatedly returned while payments continue</w:t>
            </w:r>
          </w:p>
        </w:tc>
      </w:tr>
      <w:tr>
        <w:tc>
          <w:tcPr>
            <w:tcW w:type="dxa" w:w="3024"/>
            <w:shd w:val="clear" w:color="auto" w:fill="F0F3F7"/>
          </w:tcPr>
          <w:p>
            <w:pPr>
              <w:spacing w:after="0"/>
            </w:pPr>
            <w:r>
              <w:rPr>
                <w:b/>
                <w:sz w:val="17"/>
              </w:rPr>
              <w:t>Detection point</w:t>
            </w:r>
          </w:p>
        </w:tc>
        <w:tc>
          <w:tcPr>
            <w:tcW w:type="dxa" w:w="7056"/>
          </w:tcPr>
          <w:p>
            <w:pPr>
              <w:spacing w:after="0"/>
            </w:pPr>
            <w:r>
              <w:rPr>
                <w:sz w:val="17"/>
              </w:rPr>
              <w:t>Application intake (F&amp;I office)</w:t>
            </w:r>
          </w:p>
        </w:tc>
      </w:tr>
      <w:tr>
        <w:tc>
          <w:tcPr>
            <w:tcW w:type="dxa" w:w="3024"/>
            <w:shd w:val="clear" w:color="auto" w:fill="F0F3F7"/>
          </w:tcPr>
          <w:p>
            <w:pPr>
              <w:spacing w:after="0"/>
            </w:pPr>
            <w:r>
              <w:rPr>
                <w:b/>
                <w:sz w:val="17"/>
              </w:rPr>
              <w:t>Covered account type</w:t>
            </w:r>
          </w:p>
        </w:tc>
        <w:tc>
          <w:tcPr>
            <w:tcW w:type="dxa" w:w="7056"/>
          </w:tcPr>
          <w:p>
            <w:pPr>
              <w:spacing w:after="0"/>
            </w:pPr>
            <w:r>
              <w:rPr>
                <w:sz w:val="17"/>
              </w:rPr>
              <w:t>Retail installment contract (consumer)</w:t>
            </w:r>
          </w:p>
        </w:tc>
      </w:tr>
      <w:tr>
        <w:tc>
          <w:tcPr>
            <w:tcW w:type="dxa" w:w="3024"/>
            <w:shd w:val="clear" w:color="auto" w:fill="F0F3F7"/>
          </w:tcPr>
          <w:p>
            <w:pPr>
              <w:spacing w:after="0"/>
            </w:pPr>
            <w:r>
              <w:rPr>
                <w:b/>
                <w:sz w:val="17"/>
              </w:rPr>
              <w:t>Escalation deadline</w:t>
            </w:r>
          </w:p>
        </w:tc>
        <w:tc>
          <w:tcPr>
            <w:tcW w:type="dxa" w:w="7056"/>
          </w:tcPr>
          <w:p>
            <w:pPr>
              <w:spacing w:after="0"/>
            </w:pPr>
            <w:r>
              <w:rPr>
                <w:sz w:val="17"/>
              </w:rPr>
              <w:t>Not defined in draft - OPEN ITEM (intentional test gap)</w:t>
            </w:r>
          </w:p>
        </w:tc>
      </w:tr>
      <w:tr>
        <w:tc>
          <w:tcPr>
            <w:tcW w:type="dxa" w:w="3024"/>
            <w:shd w:val="clear" w:color="auto" w:fill="F0F3F7"/>
          </w:tcPr>
          <w:p>
            <w:pPr>
              <w:spacing w:after="0"/>
            </w:pPr>
            <w:r>
              <w:rPr>
                <w:b/>
                <w:sz w:val="17"/>
              </w:rPr>
              <w:t>Alert-resolution field on checklist</w:t>
            </w:r>
          </w:p>
        </w:tc>
        <w:tc>
          <w:tcPr>
            <w:tcW w:type="dxa" w:w="7056"/>
          </w:tcPr>
          <w:p>
            <w:pPr>
              <w:spacing w:after="0"/>
            </w:pPr>
            <w:r>
              <w:rPr>
                <w:sz w:val="17"/>
              </w:rPr>
              <w:t>Not present - OPEN ITEM (intentional test gap)</w:t>
            </w:r>
          </w:p>
        </w:tc>
      </w:tr>
      <w:tr>
        <w:tc>
          <w:tcPr>
            <w:tcW w:type="dxa" w:w="3024"/>
            <w:shd w:val="clear" w:color="auto" w:fill="F0F3F7"/>
          </w:tcPr>
          <w:p>
            <w:pPr>
              <w:spacing w:after="0"/>
            </w:pPr>
            <w:r>
              <w:rPr>
                <w:b/>
                <w:sz w:val="17"/>
              </w:rPr>
              <w:t>Training evidence</w:t>
            </w:r>
          </w:p>
        </w:tc>
        <w:tc>
          <w:tcPr>
            <w:tcW w:type="dxa" w:w="7056"/>
          </w:tcPr>
          <w:p>
            <w:pPr>
              <w:spacing w:after="0"/>
            </w:pPr>
            <w:r>
              <w:rPr>
                <w:sz w:val="17"/>
              </w:rPr>
              <w:t>Verbal only, no attendance log - OPEN ITEM (intentional test gap)</w:t>
            </w:r>
          </w:p>
        </w:tc>
      </w:tr>
      <w:tr>
        <w:tc>
          <w:tcPr>
            <w:tcW w:type="dxa" w:w="3024"/>
            <w:shd w:val="clear" w:color="auto" w:fill="F0F3F7"/>
          </w:tcPr>
          <w:p>
            <w:pPr>
              <w:spacing w:after="0"/>
            </w:pPr>
            <w:r>
              <w:rPr>
                <w:b/>
                <w:sz w:val="17"/>
              </w:rPr>
              <w:t>Approval status</w:t>
            </w:r>
          </w:p>
        </w:tc>
        <w:tc>
          <w:tcPr>
            <w:tcW w:type="dxa" w:w="7056"/>
          </w:tcPr>
          <w:p>
            <w:pPr>
              <w:spacing w:after="0"/>
            </w:pPr>
            <w:r>
              <w:rPr>
                <w:sz w:val="17"/>
              </w:rPr>
              <w:t>Draft - not approved by board or senior employee</w:t>
            </w:r>
          </w:p>
        </w:tc>
      </w:tr>
    </w:tbl>
    <w:p>
      <w:pPr>
        <w:spacing w:after="40"/>
      </w:pPr>
    </w:p>
    <w:p>
      <w:pPr>
        <w:pStyle w:val="Heading2"/>
      </w:pPr>
      <w:r>
        <w:t>Detection steps (as drafted)</w:t>
      </w:r>
    </w:p>
    <w:p>
      <w:r>
        <w:t>At the application intake (f&amp;i office) stage, the finance employee is expected to notice 'mail sent to the customer is repeatedly returned while payments continue' by comparing the applicant's identification and application details with the identity verification result and any consumer reporting agency alert. If the red flag is present, the employee pauses the account opening or requested change and records the flag in the case log without copying a full identity document. The draft does not explain how the employee should verify a caller, what evidence closes the alert, or how long the employee may wait before escalating.</w:t>
      </w:r>
    </w:p>
    <w:p>
      <w:pPr>
        <w:pStyle w:val="Heading2"/>
      </w:pPr>
      <w:r>
        <w:t>Response options (as drafted)</w:t>
      </w:r>
    </w:p>
    <w:p>
      <w:pPr>
        <w:pStyle w:val="ListBullet"/>
        <w:spacing w:after="20"/>
      </w:pPr>
      <w:r>
        <w:t>Escalate the case to the Finance and Insurance Manager (no deadline set).</w:t>
      </w:r>
    </w:p>
    <w:p>
      <w:pPr>
        <w:pStyle w:val="ListBullet"/>
        <w:spacing w:after="20"/>
      </w:pPr>
      <w:r>
        <w:t>Contact the customer through a previously verified channel.</w:t>
      </w:r>
    </w:p>
    <w:p>
      <w:pPr>
        <w:pStyle w:val="ListBullet"/>
        <w:spacing w:after="20"/>
      </w:pPr>
      <w:r>
        <w:t>Request additional identification or evidence.</w:t>
      </w:r>
    </w:p>
    <w:p>
      <w:pPr>
        <w:pStyle w:val="ListBullet"/>
        <w:spacing w:after="20"/>
      </w:pPr>
      <w:r>
        <w:t>Decline the transaction or the requested account change.</w:t>
      </w:r>
    </w:p>
    <w:p>
      <w:pPr>
        <w:pStyle w:val="ListBullet"/>
        <w:spacing w:after="20"/>
      </w:pPr>
      <w:r>
        <w:t>Contact law enforcement when appropriate (criteria not defined).</w:t>
      </w:r>
    </w:p>
    <w:p>
      <w:pPr>
        <w:pStyle w:val="ListBullet"/>
        <w:spacing w:after="20"/>
      </w:pPr>
      <w:r>
        <w:t>Record the decision and reason in the case log (closure date field missing).</w:t>
      </w:r>
    </w:p>
    <w:p>
      <w:pPr>
        <w:pStyle w:val="Heading2"/>
      </w:pPr>
      <w:r>
        <w:t>Reviewer notes - open items</w:t>
      </w:r>
    </w:p>
    <w:p>
      <w:r>
        <w:t>The credit application platform contract has not been reviewed for duties to detect or report this red flag. Caller verification for address change requests is not defined, so staff use their own judgment. No covered-account risk assessment supports the decision to treat this account type as covered. The board or an appropriate senior employee has not approved the response options listed for this red flag. There is no scheduled date to update this worksheet to reflect changes in identity theft risks. The Finance and Insurance Manager intends to summarize this red flag in an annual report, but no report exists yet. Case-closure timing is not defined; open cases have no aging review. Program effectiveness for this red flag has not been evaluated, and no incidents of identity theft have been analyzed.</w:t>
      </w:r>
    </w:p>
    <w:p>
      <w:pPr>
        <w:pStyle w:val="Heading2"/>
      </w:pPr>
      <w:r>
        <w:t>Program administration status</w:t>
      </w:r>
    </w:p>
    <w:p>
      <w:r>
        <w:t>This worksheet for 'mail sent to the customer is repeatedly returned while payments continue' has not been reviewed by the board of directors or an appropriate senior employee. The Finance and Insurance Manager plans to report identity theft trends annually, but no annual report, program effectiveness review, or update record exists yet. The service provider involved at the application intake (f&amp;i office) stage has not been contractually required to detect or report this red flag.</w:t>
      </w:r>
    </w:p>
    <w:p>
      <w:r>
        <w:t>Worksheet ID LAF-RF-0036. Status: draft, unresolved. These gaps are intentional in this synthetic test fixture for a fictional company and should be reported as gaps by any reviewer.</w:t>
      </w:r>
    </w:p>
    <w:sectPr w:rsidR="00FC693F" w:rsidRPr="0006063C" w:rsidSect="00034616">
      <w:headerReference w:type="default" r:id="rId9"/>
      <w:footerReference w:type="default" r:id="rId10"/>
      <w:pgSz w:w="12240" w:h="15840"/>
      <w:pgMar w:top="1008" w:right="1080" w:bottom="1152" w:left="1080"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LAF-ID-004  |  SYNTHETIC  |  Fictional company - no customer data  |  Page </w:t>
    </w:r>
    <w:r>
      <w:rPr>
        <w:sz w:val="16"/>
      </w:rPr>
      <w:fldChar w:fldCharType="begin"/>
      <w:instrText xml:space="preserve"> PAGE </w:instrText>
      <w:fldChar w:fldCharType="separate"/>
      <w:t>1</w:t>
      <w:fldChar w:fldCharType="end"/>
    </w:r>
    <w:r>
      <w:rPr>
        <w:sz w:val="16"/>
      </w:rPr>
      <w:t xml:space="preserve"> of </w:t>
    </w:r>
    <w:r>
      <w:rPr>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B00020"/>
        <w:sz w:val="16"/>
      </w:rPr>
      <w:t>SYNTHETIC TEST DOCUMENT — FICTIONAL COMPANY — NO CUSTOMER DATA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Arial" w:hAnsi="Arial"/>
      <w:b/>
      <w:bCs/>
      <w:color w:val="1F3A5F"/>
      <w:sz w:val="25"/>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Arial" w:hAnsi="Arial"/>
      <w:b/>
      <w:bCs/>
      <w:color w:val="1F3A5F"/>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20"/>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Lantern Auto Finance LLC - Identity Theft Prevention / Red Flags Program - DRAFT</dc:title>
  <dc:subject>SYNTHETIC TEST DOCUMENT — FICTIONAL COMPANY — NO CUSTOMER DATA</dc:subject>
  <dc:creator>AuditReady synthetic fixture</dc:creator>
  <cp:keywords/>
  <dc:description>generated by python-docx</dc:description>
  <cp:lastModifiedBy/>
  <cp:revision>1</cp:revision>
  <dcterms:created xsi:type="dcterms:W3CDTF">2013-12-23T23:15:00Z</dcterms:created>
  <dcterms:modified xsi:type="dcterms:W3CDTF">2013-12-23T23:15:00Z</dcterms:modified>
  <cp:category/>
</cp:coreProperties>
</file>